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before="0" w:after="0"/>
        <w:jc w:val="center"/>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0" w:after="0"/>
        <w:jc w:val="center"/>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from____________to____________</w:t>
      </w:r>
    </w:p>
    <w:p>
      <w:pPr>
        <w:pStyle w:val="TextBody"/>
        <w:bidi w:val="0"/>
        <w:spacing w:before="0" w:after="180"/>
        <w:ind w:left="0" w:right="0" w:firstLine="360"/>
        <w:jc w:val="center"/>
      </w:p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001-39658</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ROOT,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3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432"/>
        <w:gridCol w:w="432"/>
        <w:gridCol w:w="620"/>
      </w:tblGrid>
      <w:t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84-2717903</w:t>
            </w:r>
          </w:p>
        </w:tc>
      </w:tr>
      <w:t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 E. Rich Street, Suite 500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43215</w:t>
            </w:r>
          </w:p>
        </w:tc>
      </w:tr>
      <w:t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980-9431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October 28, 2026, the number of outstanding shares of the registrant’s Class A common stock, par value $0.0001 per share, was 13,386,013 and the number of outstanding shares of the registrant’s Class B common stock, par value $0.0001 per share, was 1,806,236.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4"/>
        <w:gridCol w:w="609"/>
        <w:gridCol w:w="609"/>
        <w:gridCol w:w="2639"/>
        <w:gridCol w:w="2515"/>
        <w:gridCol w:w="2565"/>
        <w:gridCol w:w="167"/>
        <w:gridCol w:w="167"/>
        <w:gridCol w:w="240"/>
      </w:tblGrid>
      <w:t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
              <w:r>
                <w:rPr>
                  <w:rStyle w:val="InternetLink"/>
                  <w:rFonts w:ascii="Times New Roman;serif" w:hAnsi="Times New Roman;serif"/>
                  <w:b w:val="false"/>
                  <w:color w:val="0000FF"/>
                  <w:sz w:val="20"/>
                  <w:u w:val="single"/>
                </w:rPr>
                <w:t>Special Note Regarding Forward-Looking Statements</w:t>
              </w:r>
            </w:hyperlink>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hyperlink w:anchor="i59f93fe2cd21497d83be110a40e7ac3d_13">
              <w:r>
                <w:rPr>
                  <w:rStyle w:val="InternetLink"/>
                  <w:rFonts w:ascii="Times New Roman;serif" w:hAnsi="Times New Roman;serif"/>
                  <w:b w:val="false"/>
                  <w:color w:val="0000FF"/>
                  <w:sz w:val="20"/>
                  <w:u w:val="single"/>
                </w:rPr>
                <w:t>ii</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6">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6">
              <w:r>
                <w:rPr>
                  <w:rStyle w:val="InternetLink"/>
                  <w:rFonts w:ascii="Times New Roman;serif" w:hAnsi="Times New Roman;serif"/>
                  <w:b w:val="false"/>
                  <w:color w:val="0000FF"/>
                  <w:sz w:val="20"/>
                  <w:u w:val="single"/>
                </w:rPr>
                <w:t>1</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9">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9">
              <w:r>
                <w:rPr>
                  <w:rStyle w:val="InternetLink"/>
                  <w:rFonts w:ascii="Times New Roman;serif" w:hAnsi="Times New Roman;serif"/>
                  <w:b w:val="false"/>
                  <w:color w:val="0000FF"/>
                  <w:sz w:val="20"/>
                  <w:u w:val="single"/>
                </w:rPr>
                <w:t>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9">
              <w:r>
                <w:rPr>
                  <w:rStyle w:val="InternetLink"/>
                  <w:rFonts w:ascii="Times New Roman;serif" w:hAnsi="Times New Roman;serif"/>
                  <w:b w:val="false"/>
                  <w:color w:val="0000FF"/>
                  <w:sz w:val="20"/>
                  <w:u w:val="single"/>
                </w:rPr>
                <w:t>1</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22">
              <w:r>
                <w:rPr>
                  <w:rStyle w:val="InternetLink"/>
                  <w:rFonts w:ascii="Times New Roman;serif" w:hAnsi="Times New Roman;serif"/>
                  <w:b w:val="false"/>
                  <w:color w:val="0000FF"/>
                  <w:sz w:val="20"/>
                  <w:u w:val="single"/>
                </w:rPr>
                <w:t>Condensed Consolidated Balance Sheets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22">
              <w:r>
                <w:rPr>
                  <w:rStyle w:val="InternetLink"/>
                  <w:rFonts w:ascii="Times New Roman;serif" w:hAnsi="Times New Roman;serif"/>
                  <w:b w:val="false"/>
                  <w:color w:val="0000FF"/>
                  <w:sz w:val="20"/>
                  <w:u w:val="single"/>
                </w:rPr>
                <w:t>1</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59f93fe2cd21497d83be110a40e7ac3d_25">
              <w:r>
                <w:rPr>
                  <w:rStyle w:val="InternetLink"/>
                  <w:rFonts w:ascii="Times New Roman;serif" w:hAnsi="Times New Roman;serif"/>
                  <w:b w:val="false"/>
                  <w:color w:val="000080"/>
                  <w:sz w:val="20"/>
                  <w:u w:val="single"/>
                </w:rPr>
                <w:t>Condensed Consolidated Statements of Operations and Comprehensive Income (Loss)</w:t>
              </w:r>
            </w:hyperlink>
            <w:hyperlink w:anchor="i59f93fe2cd21497d83be110a40e7ac3d_25">
              <w:r>
                <w:rPr>
                  <w:rStyle w:val="InternetLink"/>
                  <w:rFonts w:ascii="Times New Roman;serif" w:hAnsi="Times New Roman;serif"/>
                  <w:b w:val="false"/>
                  <w:color w:val="000080"/>
                  <w:sz w:val="20"/>
                  <w:u w:val="single"/>
                </w:rPr>
                <w:t xml:space="preserve"> </w:t>
              </w:r>
            </w:hyperlink>
            <w:hyperlink w:anchor="i59f93fe2cd21497d83be110a40e7ac3d_25">
              <w:r>
                <w:rPr>
                  <w:rStyle w:val="InternetLink"/>
                  <w:rFonts w:ascii="Times New Roman;serif" w:hAnsi="Times New Roman;serif"/>
                  <w:b w:val="false"/>
                  <w:color w:val="000080"/>
                  <w:sz w:val="20"/>
                  <w:u w:val="single"/>
                </w:rPr>
                <w:t>-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25">
              <w:r>
                <w:rPr>
                  <w:rStyle w:val="InternetLink"/>
                  <w:rFonts w:ascii="Times New Roman;serif" w:hAnsi="Times New Roman;serif"/>
                  <w:b w:val="false"/>
                  <w:color w:val="0000FF"/>
                  <w:sz w:val="20"/>
                  <w:u w:val="single"/>
                </w:rPr>
                <w:t>2</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59f93fe2cd21497d83be110a40e7ac3d_31">
              <w:r>
                <w:rPr>
                  <w:rStyle w:val="InternetLink"/>
                  <w:rFonts w:ascii="Times New Roman;serif" w:hAnsi="Times New Roman;serif"/>
                  <w:b w:val="false"/>
                  <w:color w:val="0000FF"/>
                  <w:sz w:val="20"/>
                  <w:u w:val="single"/>
                </w:rPr>
                <w:t>Condensed Consolidated Statements of Redeemable Convertible Preferred Stock and Stockholders’ Equity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31">
              <w:r>
                <w:rPr>
                  <w:rStyle w:val="InternetLink"/>
                  <w:rFonts w:ascii="Times New Roman;serif" w:hAnsi="Times New Roman;serif"/>
                  <w:b w:val="false"/>
                  <w:color w:val="0000FF"/>
                  <w:sz w:val="20"/>
                  <w:u w:val="single"/>
                </w:rPr>
                <w:t>3</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37">
              <w:r>
                <w:rPr>
                  <w:rStyle w:val="InternetLink"/>
                  <w:rFonts w:ascii="Times New Roman;serif" w:hAnsi="Times New Roman;serif"/>
                  <w:b w:val="false"/>
                  <w:color w:val="0000FF"/>
                  <w:sz w:val="20"/>
                  <w:u w:val="single"/>
                </w:rPr>
                <w:t>Condensed Consolidated Statements of Cash Flows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37">
              <w:r>
                <w:rPr>
                  <w:rStyle w:val="InternetLink"/>
                  <w:rFonts w:ascii="Times New Roman;serif" w:hAnsi="Times New Roman;serif"/>
                  <w:b w:val="false"/>
                  <w:color w:val="0000FF"/>
                  <w:sz w:val="20"/>
                  <w:u w:val="single"/>
                </w:rPr>
                <w:t>5</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40">
              <w:r>
                <w:rPr>
                  <w:rStyle w:val="InternetLink"/>
                  <w:rFonts w:ascii="Times New Roman;serif" w:hAnsi="Times New Roman;serif"/>
                  <w:b w:val="false"/>
                  <w:color w:val="0000FF"/>
                  <w:sz w:val="20"/>
                  <w:u w:val="single"/>
                </w:rPr>
                <w:t>Notes to Condensed Consolidated 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40">
              <w:r>
                <w:rPr>
                  <w:rStyle w:val="InternetLink"/>
                  <w:rFonts w:ascii="Times New Roman;serif" w:hAnsi="Times New Roman;serif"/>
                  <w:b w:val="false"/>
                  <w:color w:val="0000FF"/>
                  <w:sz w:val="20"/>
                  <w:u w:val="single"/>
                </w:rPr>
                <w:t>6</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00">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00">
              <w:r>
                <w:rPr>
                  <w:rStyle w:val="InternetLink"/>
                  <w:rFonts w:ascii="Times New Roman;serif" w:hAnsi="Times New Roman;serif"/>
                  <w:b w:val="false"/>
                  <w:color w:val="0000FF"/>
                  <w:sz w:val="20"/>
                  <w:u w:val="single"/>
                </w:rPr>
                <w:t>24</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27">
              <w:r>
                <w:rPr>
                  <w:rStyle w:val="InternetLink"/>
                  <w:rFonts w:ascii="Times New Roman;serif" w:hAnsi="Times New Roman;serif"/>
                  <w:b w:val="false"/>
                  <w:color w:val="0000FF"/>
                  <w:sz w:val="20"/>
                  <w:u w:val="single"/>
                </w:rPr>
                <w:t>Item 3.</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27">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27">
              <w:r>
                <w:rPr>
                  <w:rStyle w:val="InternetLink"/>
                  <w:rFonts w:ascii="Times New Roman;serif" w:hAnsi="Times New Roman;serif"/>
                  <w:b w:val="false"/>
                  <w:color w:val="0000FF"/>
                  <w:sz w:val="20"/>
                  <w:u w:val="single"/>
                </w:rPr>
                <w:t>43</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0">
              <w:r>
                <w:rPr>
                  <w:rStyle w:val="InternetLink"/>
                  <w:rFonts w:ascii="Times New Roman;serif" w:hAnsi="Times New Roman;serif"/>
                  <w:b w:val="false"/>
                  <w:color w:val="0000FF"/>
                  <w:sz w:val="20"/>
                  <w:u w:val="single"/>
                </w:rPr>
                <w:t xml:space="preserve">Item 4.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0">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30">
              <w:r>
                <w:rPr>
                  <w:rStyle w:val="InternetLink"/>
                  <w:rFonts w:ascii="Times New Roman;serif" w:hAnsi="Times New Roman;serif"/>
                  <w:b w:val="false"/>
                  <w:color w:val="0000FF"/>
                  <w:sz w:val="20"/>
                  <w:u w:val="single"/>
                </w:rPr>
                <w:t>44</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33">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33">
              <w:r>
                <w:rPr>
                  <w:rStyle w:val="InternetLink"/>
                  <w:rFonts w:ascii="Times New Roman;serif" w:hAnsi="Times New Roman;serif"/>
                  <w:b w:val="false"/>
                  <w:color w:val="0000FF"/>
                  <w:sz w:val="20"/>
                  <w:u w:val="single"/>
                </w:rPr>
                <w:t>45</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6">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6">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36">
              <w:r>
                <w:rPr>
                  <w:rStyle w:val="InternetLink"/>
                  <w:rFonts w:ascii="Times New Roman;serif" w:hAnsi="Times New Roman;serif"/>
                  <w:b w:val="false"/>
                  <w:color w:val="0000FF"/>
                  <w:sz w:val="20"/>
                  <w:u w:val="single"/>
                </w:rPr>
                <w:t>45</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9">
              <w:r>
                <w:rPr>
                  <w:rStyle w:val="InternetLink"/>
                  <w:rFonts w:ascii="Times New Roman;serif" w:hAnsi="Times New Roman;serif"/>
                  <w:b w:val="false"/>
                  <w:color w:val="0000FF"/>
                  <w:sz w:val="20"/>
                  <w:u w:val="single"/>
                </w:rPr>
                <w:t>Item 1A.</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39">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39">
              <w:r>
                <w:rPr>
                  <w:rStyle w:val="InternetLink"/>
                  <w:rFonts w:ascii="Times New Roman;serif" w:hAnsi="Times New Roman;serif"/>
                  <w:b w:val="false"/>
                  <w:color w:val="0000FF"/>
                  <w:sz w:val="20"/>
                  <w:u w:val="single"/>
                </w:rPr>
                <w:t>46</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42">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59f93fe2cd21497d83be110a40e7ac3d_142">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42">
              <w:r>
                <w:rPr>
                  <w:rStyle w:val="InternetLink"/>
                  <w:rFonts w:ascii="Times New Roman;serif" w:hAnsi="Times New Roman;serif"/>
                  <w:b w:val="false"/>
                  <w:color w:val="0000FF"/>
                  <w:sz w:val="20"/>
                  <w:u w:val="single"/>
                </w:rPr>
                <w:t>47</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45">
              <w:r>
                <w:rPr>
                  <w:rStyle w:val="InternetLink"/>
                  <w:rFonts w:ascii="Times New Roman;serif" w:hAnsi="Times New Roman;serif"/>
                  <w:b w:val="false"/>
                  <w:color w:val="0000FF"/>
                  <w:sz w:val="20"/>
                  <w:u w:val="single"/>
                </w:rPr>
                <w:t xml:space="preserve">Item 3.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45">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45">
              <w:r>
                <w:rPr>
                  <w:rStyle w:val="InternetLink"/>
                  <w:rFonts w:ascii="Times New Roman;serif" w:hAnsi="Times New Roman;serif"/>
                  <w:b w:val="false"/>
                  <w:color w:val="0000FF"/>
                  <w:sz w:val="20"/>
                  <w:u w:val="single"/>
                </w:rPr>
                <w:t>48</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48">
              <w:r>
                <w:rPr>
                  <w:rStyle w:val="InternetLink"/>
                  <w:rFonts w:ascii="Times New Roman;serif" w:hAnsi="Times New Roman;serif"/>
                  <w:b w:val="false"/>
                  <w:color w:val="0000FF"/>
                  <w:sz w:val="20"/>
                  <w:u w:val="single"/>
                </w:rPr>
                <w:t>Item 4.</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48">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48">
              <w:r>
                <w:rPr>
                  <w:rStyle w:val="InternetLink"/>
                  <w:rFonts w:ascii="Times New Roman;serif" w:hAnsi="Times New Roman;serif"/>
                  <w:b w:val="false"/>
                  <w:color w:val="0000FF"/>
                  <w:sz w:val="20"/>
                  <w:u w:val="single"/>
                </w:rPr>
                <w:t>49</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51">
              <w:r>
                <w:rPr>
                  <w:rStyle w:val="InternetLink"/>
                  <w:rFonts w:ascii="Times New Roman;serif" w:hAnsi="Times New Roman;serif"/>
                  <w:b w:val="false"/>
                  <w:color w:val="0000FF"/>
                  <w:sz w:val="20"/>
                  <w:u w:val="single"/>
                </w:rPr>
                <w:t xml:space="preserve">Item 5.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51">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51">
              <w:r>
                <w:rPr>
                  <w:rStyle w:val="InternetLink"/>
                  <w:rFonts w:ascii="Times New Roman;serif" w:hAnsi="Times New Roman;serif"/>
                  <w:b w:val="false"/>
                  <w:color w:val="0000FF"/>
                  <w:sz w:val="20"/>
                  <w:u w:val="single"/>
                </w:rPr>
                <w:t>50</w:t>
              </w:r>
            </w:hyperlink>
          </w:p>
        </w:tc>
      </w:tr>
      <w:t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54">
              <w:r>
                <w:rPr>
                  <w:rStyle w:val="InternetLink"/>
                  <w:rFonts w:ascii="Times New Roman;serif" w:hAnsi="Times New Roman;serif"/>
                  <w:b w:val="false"/>
                  <w:color w:val="0000FF"/>
                  <w:sz w:val="20"/>
                  <w:u w:val="single"/>
                </w:rPr>
                <w:t>Item 6.</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54">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54">
              <w:r>
                <w:rPr>
                  <w:rStyle w:val="InternetLink"/>
                  <w:rFonts w:ascii="Times New Roman;serif" w:hAnsi="Times New Roman;serif"/>
                  <w:b w:val="false"/>
                  <w:color w:val="0000FF"/>
                  <w:sz w:val="20"/>
                  <w:u w:val="single"/>
                </w:rPr>
                <w:t>51</w:t>
              </w:r>
            </w:hyperlink>
          </w:p>
        </w:tc>
      </w:tr>
      <w:t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59f93fe2cd21497d83be110a40e7ac3d_157">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59f93fe2cd21497d83be110a40e7ac3d_157">
              <w:r>
                <w:rPr>
                  <w:rStyle w:val="InternetLink"/>
                  <w:rFonts w:ascii="Times New Roman;serif" w:hAnsi="Times New Roman;serif"/>
                  <w:b w:val="false"/>
                  <w:color w:val="0000FF"/>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share repurchase expectations;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anticipated benefits of our senior secured term loan;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expectations regarding our future financial performance, including total revenue, gross profit, net income (loss),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maintain, and drive a significant long-term competitive advantage through, our partnership with Carvana Group, LLC, or Carvana, and other partnerships, such as our partnerships with Hyundai Capital America, including the Hyundai Secure+ partnership, Toyota, Experian and Jerry;</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develop products for embedded insurance and other partners;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remain profitable and extend our capital runway;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goal to be licensed in all contiguous states in the United States and the timing of obtaining additional licenses and launching in new states;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accuracy and efficiency of our telematics and behavioral data, and our ability to gather and leverage existing and additional data;</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underwrite risks accurately and charge profitable rates;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maintain and enhance our brand and reputation;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effectively manage the growth of our business;</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raise additional capital efficiently or at all;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future performance of the markets in which we operate;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realize economies of scale;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deliver a vertically integrated customer experience;</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protect our intellectual property and any costs associated therewith;</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develop an autonomous claims experience;</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take rate action early and react to changing environments;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meet risk-based capital requirements;</w:t>
      </w:r>
    </w:p>
    <w:p>
      <w:pPr>
        <w:pStyle w:val="TextBody"/>
        <w:bidi w:val="0"/>
        <w:spacing w:lineRule="auto" w:line="288" w:before="0" w:after="180"/>
        <w:ind w:left="0" w:right="0" w:firstLine="360"/>
        <w:jc w:val="left"/>
      </w:pPr>
      <w:r>
        <w:rPr>
          <w:color w:val="000000"/>
        </w:rPr>
        <w:t>•</w:t>
      </w:r>
      <w:r>
        <w:rPr>
          <w:rFonts w:ascii="Times New Roman;serif" w:hAnsi="Times New Roman;serif"/>
          <w:b w:val="false"/>
          <w:color w:val="000000"/>
          <w:sz w:val="20"/>
        </w:rPr>
        <w:t>our ability to realize benefits from our Texas county mutual fronting arrangement;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expand domestically;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our ability to comply with laws and regulations that currently apply or become applicable to our business;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changes in laws or regulations, or changes in the interpretation of laws or regulations by a regulatory authority, specific to the use of artificial intelligence, telematics data and the consent to use telematics data, connected-car data, and other sources of data, or relating to taxation, including changes in tax regulations, or guidance promulgated pursuant to the new legislation implemented in the One Big Beautiful Bill Act;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effect of interest rates on our available cash and our ability to maintain compliance with our senior secured term loan;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maintain proper and effective internal control over financial reporting;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“Root,” “the Company,” “we,” “our” and “us” refer to Root, Inc. and its subsidiaries.</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7"/>
        <w:gridCol w:w="2403"/>
        <w:gridCol w:w="1516"/>
        <w:gridCol w:w="293"/>
        <w:gridCol w:w="1069"/>
        <w:gridCol w:w="151"/>
        <w:gridCol w:w="151"/>
        <w:gridCol w:w="151"/>
        <w:gridCol w:w="151"/>
        <w:gridCol w:w="293"/>
        <w:gridCol w:w="1069"/>
        <w:gridCol w:w="221"/>
      </w:tblGrid>
      <w:tr>
        <w:tc>
          <w:tcPr>
            <w:tcW w:w="273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c>
          <w:tcPr>
            <w:tcW w:w="6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w:t>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$443.4 and $383.1 at September 30, 2026 and December 31, 2025, respectively)</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(amortized cost: $2.0 and zero at September 30, 2026 and December 31, 2025, respectively)</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 of allowance of $8.3 and $8.9 at September 30, 2026 and December 31, 2025, respectively</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 net of allowance of zero at September 30, 2026 and December 31, 2025</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recoverable, net of allowance of $0.1 at September 30, 2026 and December 31, 2025</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reserves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convertible preferred stock, $0.0001 par value, 100.0 shares authorized, 14.1 shares issued and outstanding at September 30, 2026 and December 31, 2025 (redemption value of $126.5) </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13.5 shares and 13.7 shares issued and outstanding at September 30, 2026 and December 31, 2025, respectively</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$0.0001 par value, 269.0 shares authorized, 1.8 shares issued and outstanding at September 30, 2026 and December 31, 2025</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415"/>
        <w:gridCol w:w="865"/>
        <w:gridCol w:w="871"/>
        <w:gridCol w:w="293"/>
        <w:gridCol w:w="856"/>
        <w:gridCol w:w="151"/>
        <w:gridCol w:w="151"/>
        <w:gridCol w:w="151"/>
        <w:gridCol w:w="151"/>
        <w:gridCol w:w="293"/>
        <w:gridCol w:w="856"/>
        <w:gridCol w:w="151"/>
        <w:gridCol w:w="151"/>
        <w:gridCol w:w="151"/>
        <w:gridCol w:w="151"/>
        <w:gridCol w:w="293"/>
        <w:gridCol w:w="1065"/>
        <w:gridCol w:w="151"/>
        <w:gridCol w:w="151"/>
        <w:gridCol w:w="151"/>
        <w:gridCol w:w="151"/>
        <w:gridCol w:w="293"/>
        <w:gridCol w:w="1065"/>
        <w:gridCol w:w="228"/>
      </w:tblGrid>
      <w:tr>
        <w:tc>
          <w:tcPr>
            <w:tcW w:w="14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 - UNAUDITED</w:t>
            </w:r>
          </w:p>
        </w:tc>
      </w:tr>
      <w:tr>
        <w:tc>
          <w:tcPr>
            <w:tcW w:w="3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(both Class A and B)</w:t>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(both Class A and B)</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pPr>
      <w:r/>
    </w:p>
    <w:tbl>
      <w:tblPr>
        <w:tblW w:w="12864" w:type="dxa"/>
        <w:jc w:val="left"/>
        <w:tblInd w:w="0" w:type="dxa"/>
        <w:tblLayout w:type="fixed"/>
        <w:tblCellMar>
          <w:top w:w="28" w:type="dxa"/>
          <w:left w:w="28" w:type="dxa"/>
          <w:bottom w:w="28" w:type="dxa"/>
          <w:right w:w="28" w:type="dxa"/>
        </w:tblCellMar>
      </w:tblPr>
      <w:tblGrid>
        <w:gridCol w:w="728"/>
        <w:gridCol w:w="311"/>
        <w:gridCol w:w="312"/>
        <w:gridCol w:w="255"/>
        <w:gridCol w:w="256"/>
        <w:gridCol w:w="121"/>
        <w:gridCol w:w="109"/>
        <w:gridCol w:w="109"/>
        <w:gridCol w:w="109"/>
        <w:gridCol w:w="211"/>
        <w:gridCol w:w="616"/>
        <w:gridCol w:w="109"/>
        <w:gridCol w:w="109"/>
        <w:gridCol w:w="109"/>
        <w:gridCol w:w="109"/>
        <w:gridCol w:w="109"/>
        <w:gridCol w:w="109"/>
        <w:gridCol w:w="109"/>
        <w:gridCol w:w="316"/>
        <w:gridCol w:w="195"/>
        <w:gridCol w:w="121"/>
        <w:gridCol w:w="109"/>
        <w:gridCol w:w="109"/>
        <w:gridCol w:w="109"/>
        <w:gridCol w:w="211"/>
        <w:gridCol w:w="195"/>
        <w:gridCol w:w="121"/>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236"/>
        <w:gridCol w:w="526"/>
        <w:gridCol w:w="109"/>
        <w:gridCol w:w="109"/>
        <w:gridCol w:w="109"/>
        <w:gridCol w:w="109"/>
        <w:gridCol w:w="211"/>
        <w:gridCol w:w="781"/>
        <w:gridCol w:w="109"/>
        <w:gridCol w:w="109"/>
        <w:gridCol w:w="109"/>
        <w:gridCol w:w="109"/>
        <w:gridCol w:w="211"/>
        <w:gridCol w:w="616"/>
        <w:gridCol w:w="154"/>
      </w:tblGrid>
      <w:t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128"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c>
          <w:tcPr>
            <w:tcW w:w="10128"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stock—repurchase and retirement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2026</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stock—repurchase and retirement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2026</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pPr>
      <w:r/>
    </w:p>
    <w:tbl>
      <w:tblPr>
        <w:tblW w:w="1286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pPr>
      <w:r/>
    </w:p>
    <w:tbl>
      <w:tblPr>
        <w:tblW w:w="10205" w:type="dxa"/>
        <w:jc w:val="center"/>
        <w:tblInd w:w="0" w:type="dxa"/>
        <w:tblLayout w:type="fixed"/>
        <w:tblCellMar>
          <w:top w:w="28" w:type="dxa"/>
          <w:left w:w="28" w:type="dxa"/>
          <w:bottom w:w="28" w:type="dxa"/>
          <w:right w:w="28" w:type="dxa"/>
        </w:tblCellMar>
      </w:tblPr>
      <w:tblGrid>
        <w:gridCol w:w="2069"/>
        <w:gridCol w:w="1676"/>
        <w:gridCol w:w="1670"/>
        <w:gridCol w:w="449"/>
        <w:gridCol w:w="1315"/>
        <w:gridCol w:w="232"/>
        <w:gridCol w:w="232"/>
        <w:gridCol w:w="232"/>
        <w:gridCol w:w="232"/>
        <w:gridCol w:w="449"/>
        <w:gridCol w:w="1315"/>
        <w:gridCol w:w="334"/>
      </w:tblGrid>
      <w:tr>
        <w:tc>
          <w:tcPr>
            <w:tcW w:w="2069"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tc>
      </w:tr>
      <w:tr>
        <w:tc>
          <w:tcPr>
            <w:tcW w:w="5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reserves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calls and pay downs of investments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internally developed software</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restricted stock units</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 net of issuance costs</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restricted cash, and restricted cash equivalents</w:t>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beginning of period</w:t>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end of period</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r>
        <w:tc>
          <w:tcPr>
            <w:tcW w:w="5415"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1.</w:t>
      </w:r>
      <w:r>
        <w:rPr>
          <w:rFonts w:ascii="Times New Roman;serif" w:hAnsi="Times New Roman;serif"/>
          <w:b/>
          <w:color w:val="000000"/>
          <w:sz w:val="20"/>
        </w:rPr>
        <w:t>NATURE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is a holding company which, directly or indirectly, maintains 100% ownership of each of its subsidiaries, including, among others, Root Insurance Company, Root Property &amp; Casualty Insurance Company, or Root Property &amp; Casualty, and Root Select Insurance Company, or Root Select, all Ohio-domiciled insurance companies, Root Florida Insurance Company, or Root Florida, a Florida-domiciled insurance company, and Root Reinsurance Company, Ltd., a Cayman Islands-domiciled reinsurance company, together with Root, Inc., “we,” “us,” or “our.”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and partnerships. We offer auto and renters insurance products underwritten by Root Insurance Company and auto insurance only through Root Property &amp; Casualty, Root Florida, and Root Select.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2.</w:t>
      </w:r>
      <w:r>
        <w:rPr>
          <w:rFonts w:ascii="Times New Roman;serif" w:hAnsi="Times New Roman;serif"/>
          <w:b/>
          <w:color w:val="000000"/>
          <w:sz w:val="20"/>
        </w:rPr>
        <w:t>BASIS OF PRESENTATION AND SUMMARY OF SIGNIFICANT ACCOUNTING POLICIES</w:t>
      </w:r>
    </w:p>
    <w:p>
      <w:pPr>
        <w:pStyle w:val="TextBody"/>
        <w:bidi w:val="0"/>
        <w:spacing w:lineRule="auto" w:line="288" w:before="0" w:after="180"/>
        <w:ind w:left="0" w:right="0" w:firstLine="360"/>
        <w:jc w:val="left"/>
      </w:pPr>
      <w:r>
        <w:rPr>
          <w:rFonts w:ascii="Times New Roman;serif" w:hAnsi="Times New Roman;serif"/>
          <w:b/>
          <w:color w:val="000000"/>
          <w:sz w:val="20"/>
        </w:rPr>
        <w:t>Basis of Presentation</w:t>
      </w:r>
      <w:r>
        <w:rPr>
          <w:color w:val="000000"/>
        </w:rPr>
        <w:t>—</w:t>
      </w:r>
      <w:r>
        <w:rPr>
          <w:rFonts w:ascii="Times New Roman;serif" w:hAnsi="Times New Roman;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2025 filed with the Securities and Exchange Commission on February 25, 2026.</w:t>
      </w:r>
    </w:p>
    <w:p>
      <w:pPr>
        <w:pStyle w:val="TextBody"/>
        <w:bidi w:val="0"/>
        <w:spacing w:lineRule="auto" w:line="288" w:before="0" w:after="180"/>
        <w:ind w:left="0" w:right="0" w:firstLine="360"/>
        <w:jc w:val="left"/>
      </w:pPr>
      <w:r>
        <w:rPr>
          <w:rFonts w:ascii="Times New Roman;serif" w:hAnsi="Times New Roman;serif"/>
          <w:b/>
          <w:color w:val="000000"/>
          <w:sz w:val="20"/>
        </w:rPr>
        <w:t>Basis of Consolidation</w:t>
      </w:r>
      <w:r>
        <w:rPr>
          <w:color w:val="000000"/>
        </w:rPr>
        <w:t>—</w:t>
      </w:r>
      <w:r>
        <w:rPr>
          <w:rFonts w:ascii="Times New Roman;serif" w:hAnsi="Times New Roman;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U.S., or GAAP. All intercompany accounts and transactions have been eliminated.</w:t>
      </w:r>
    </w:p>
    <w:p>
      <w:pPr>
        <w:pStyle w:val="TextBody"/>
        <w:bidi w:val="0"/>
        <w:spacing w:lineRule="auto" w:line="288" w:before="0" w:after="180"/>
        <w:ind w:left="0" w:right="0" w:firstLine="360"/>
        <w:jc w:val="left"/>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from reinsurance contracts.</w:t>
      </w:r>
    </w:p>
    <w:p>
      <w:pPr>
        <w:pStyle w:val="TextBody"/>
        <w:bidi w:val="0"/>
        <w:spacing w:lineRule="auto" w:line="288" w:before="0" w:after="180"/>
        <w:ind w:left="0" w:right="0" w:firstLine="360"/>
        <w:jc w:val="left"/>
      </w:pPr>
      <w:r>
        <w:rPr>
          <w:rFonts w:ascii="Times New Roman;serif" w:hAnsi="Times New Roman;serif"/>
          <w:b/>
          <w:color w:val="000000"/>
          <w:sz w:val="20"/>
        </w:rPr>
        <w:t>Legal and Other Contingencies</w:t>
      </w:r>
      <w:r>
        <w:rPr>
          <w:color w:val="000000"/>
        </w:rPr>
        <w:t>—</w:t>
      </w: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contingently liable for possible future assessments under regulatory requirements for insolvencies and impairments of unaffiliated insurance companies.</w:t>
      </w:r>
    </w:p>
    <w:p>
      <w:pPr>
        <w:pStyle w:val="TextBody"/>
        <w:bidi w:val="0"/>
        <w:spacing w:lineRule="auto" w:line="288" w:before="0" w:after="180"/>
        <w:ind w:left="0" w:right="0" w:firstLine="360"/>
        <w:jc w:val="left"/>
      </w:pPr>
      <w:r>
        <w:rPr>
          <w:rFonts w:ascii="Times New Roman;serif" w:hAnsi="Times New Roman;serif"/>
          <w:b/>
          <w:color w:val="000000"/>
          <w:sz w:val="20"/>
        </w:rPr>
        <w:t>Segment Information</w:t>
      </w:r>
      <w:r>
        <w:rPr>
          <w:color w:val="000000"/>
        </w:rPr>
        <w:t>—</w:t>
      </w:r>
      <w:r>
        <w:rPr>
          <w:rFonts w:ascii="Times New Roman;serif" w:hAnsi="Times New Roman;serif"/>
          <w:b w:val="false"/>
          <w:color w:val="000000"/>
          <w:sz w:val="20"/>
        </w:rPr>
        <w:t xml:space="preserve">We are a technology company that provides direct-to-consumer insurance products to customers. We operate as a single reporting segment that is managed on a consolidated basis. Our Chief Executive Officer is our chief operating decision maker, or CODM. The primary measure the CODM utilizes to manage operations, monitor budget versus actual results, and evaluate financial performance is net income (loss) as reported on the condensed consolidated statements of operations and comprehensive income (loss). This information is regularly provided to the CODM.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allocates resources based on consolidated expense and forecasted expense information. Significant expenses, which are presented on the condensed consolidated statements of operations and comprehensive income (loss), include loss and LAE, sales and marketing, other insurance expense and technology and development. Other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items include expenses that our CODM does not evaluate for purposes of making operating decisions. These items include general and administrative, interest expense, loss on extinguishment of debt and income tax expense, which can all be found on the condensed consolidated statements of operations and comprehensive income (loss). Assets provided to the CODM are consistent with those reported on the condensed consolidated balance sheets.</w:t>
      </w:r>
    </w:p>
    <w:p>
      <w:pPr>
        <w:pStyle w:val="TextBody"/>
        <w:bidi w:val="0"/>
        <w:spacing w:lineRule="auto" w:line="288" w:before="0" w:after="180"/>
        <w:ind w:left="0" w:right="0" w:firstLine="360"/>
        <w:jc w:val="left"/>
      </w:pPr>
      <w:r>
        <w:rPr>
          <w:rFonts w:ascii="Times New Roman;serif" w:hAnsi="Times New Roman;serif"/>
          <w:b/>
          <w:color w:val="000000"/>
          <w:sz w:val="20"/>
        </w:rPr>
        <w:t>Cash, Cash Equivalents, Restricted Cash and Restricted Cash Equivalents</w:t>
      </w:r>
      <w:r>
        <w:rPr>
          <w:color w:val="000000"/>
        </w:rPr>
        <w:t>—</w:t>
      </w:r>
      <w:r>
        <w:rPr>
          <w:rFonts w:ascii="Times New Roman;serif" w:hAnsi="Times New Roman;serif"/>
          <w:b w:val="false"/>
          <w:color w:val="000000"/>
          <w:sz w:val="20"/>
        </w:rPr>
        <w:t xml:space="preserve">Cash consists of cash on deposit. Cash equivalents are short-term, highly liquid investments that typically mature within three months from the date of origination or purchase, and are principally stated at amortized cost, which approximates their fair value. Restricted cash consists of amounts held by state insurance departments and financial institutions for the benefit of policyholders and to satisfy letter of credit requirements for certain property leases. Restricted cash equivalents consist of amounts held by our lender to satisfy the minimum cash management requirements under our senior secured term loan and short-term, highly liquid investments held by a financial institution to maintain certain collateral requirements with an unaffiliated Texas county mutual insurance company, and are stated at amortized cost, which approximates their fair value.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restricted cash and restricted cash equivalents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87"/>
        <w:gridCol w:w="2448"/>
        <w:gridCol w:w="2461"/>
        <w:gridCol w:w="240"/>
        <w:gridCol w:w="702"/>
        <w:gridCol w:w="123"/>
        <w:gridCol w:w="109"/>
        <w:gridCol w:w="109"/>
        <w:gridCol w:w="109"/>
        <w:gridCol w:w="239"/>
        <w:gridCol w:w="698"/>
        <w:gridCol w:w="180"/>
      </w:tblGrid>
      <w:tr>
        <w:tc>
          <w:tcPr>
            <w:tcW w:w="2787"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restricted cash, and restricted cash equivalents shown in the condensed consolidated statements of cash flows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pPr>
      <w:r>
        <w:rPr>
          <w:rFonts w:ascii="Times New Roman;serif" w:hAnsi="Times New Roman;serif"/>
          <w:b/>
          <w:color w:val="000000"/>
          <w:sz w:val="20"/>
        </w:rPr>
        <w:t>Investments</w:t>
      </w:r>
      <w:r>
        <w:rPr>
          <w:color w:val="000000"/>
        </w:rPr>
        <w:t>—</w:t>
      </w:r>
      <w:r>
        <w:rPr>
          <w:rFonts w:ascii="Times New Roman;serif" w:hAnsi="Times New Roman;serif"/>
          <w:b w:val="false"/>
          <w:color w:val="000000"/>
          <w:sz w:val="20"/>
        </w:rPr>
        <w:t>In June 2026, we purchased $4.5 million in premium tax credits for a purchase price of $3.8 million. This investment is recognized within other assets in our condensed consolidated balance sheet. These tax credits can be utilized in three annual installments to offset certain state premium taxes beginning with the 2026 premium tax year. We will recognize these tax credits on a quarterly basis, up to the annual credit value. We also recognized a purchase discount, which is the difference between the premium tax credits and purchase price, as a deferred gain within other liabilities in our condensed consolidated balance sheet. As we utilize the tax credits to settle our premium tax liabilities, the deferred discount is recognized proportionally within other income in our condensed consolidated statements of operations and comprehensive income (loss). An impairment will be recognized if it is probable that we will be unable to recover the carrying value of the premium tax credits. Impairment of the investment would be recognized within other income in our condensed consolidated statements of operations and comprehensive income (loss).</w:t>
      </w:r>
    </w:p>
    <w:p>
      <w:pPr>
        <w:pStyle w:val="TextBody"/>
        <w:bidi w:val="0"/>
        <w:spacing w:lineRule="auto" w:line="288" w:before="0" w:after="180"/>
        <w:ind w:left="0" w:right="0" w:firstLine="360"/>
        <w:jc w:val="left"/>
      </w:pPr>
      <w:r>
        <w:rPr>
          <w:rFonts w:ascii="Times New Roman;serif" w:hAnsi="Times New Roman;serif"/>
          <w:b/>
          <w:color w:val="000000"/>
          <w:sz w:val="20"/>
        </w:rPr>
        <w:t>Premiums Payable and Reinsurance Premiums Receivable</w:t>
      </w:r>
      <w:r>
        <w:rPr>
          <w:color w:val="000000"/>
        </w:rPr>
        <w:t>—</w:t>
      </w:r>
      <w:r>
        <w:rPr>
          <w:rFonts w:ascii="Times New Roman;serif" w:hAnsi="Times New Roman;serif"/>
          <w:b w:val="false"/>
          <w:color w:val="000000"/>
          <w:sz w:val="20"/>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Premiums payable are amounts owed to the fronting carrier. Reinsurance premiums receivable are the amounts owed to us from the fronting carrier for reinsurance premiums.</w:t>
      </w:r>
    </w:p>
    <w:p>
      <w:pPr>
        <w:pStyle w:val="TextBody"/>
        <w:bidi w:val="0"/>
        <w:spacing w:lineRule="auto" w:line="288" w:before="0" w:after="180"/>
        <w:ind w:left="0" w:right="0" w:firstLine="360"/>
        <w:jc w:val="left"/>
      </w:pPr>
      <w:r>
        <w:rPr>
          <w:rFonts w:ascii="Times New Roman;serif" w:hAnsi="Times New Roman;serif"/>
          <w:b/>
          <w:color w:val="000000"/>
          <w:sz w:val="20"/>
        </w:rPr>
        <w:t>Deferred Policy Acquisition Costs</w:t>
      </w:r>
      <w:r>
        <w:rPr>
          <w:color w:val="000000"/>
        </w:rPr>
        <w:t>—</w:t>
      </w:r>
      <w:r>
        <w:rPr>
          <w:rFonts w:ascii="Times New Roman;serif" w:hAnsi="Times New Roman;serif"/>
          <w:b w:val="false"/>
          <w:color w:val="000000"/>
          <w:sz w:val="20"/>
        </w:rPr>
        <w:t>We amortized deferred policy acquisition costs of $31.3 million and $89.6 million for the three and nine months ended September 30, 2026, respectively, and $20.6 million and $50.3 million for the three and nine months ended September 30,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pPr>
      <w:r>
        <w:rPr>
          <w:rFonts w:ascii="Times New Roman;serif" w:hAnsi="Times New Roman;serif"/>
          <w:b/>
          <w:color w:val="000000"/>
          <w:sz w:val="20"/>
        </w:rPr>
        <w:t>Performance-Based Restricted Stock Units</w:t>
      </w:r>
      <w:r>
        <w:rPr>
          <w:color w:val="000000"/>
        </w:rPr>
        <w:t>—</w:t>
      </w:r>
      <w:r>
        <w:rPr>
          <w:rFonts w:ascii="Times New Roman;serif" w:hAnsi="Times New Roman;serif"/>
          <w:b w:val="false"/>
          <w:color w:val="000000"/>
          <w:sz w:val="20"/>
        </w:rPr>
        <w:t xml:space="preserve">In the first quarter of 2026, we granted 0.4 million performance-based restricted stock units to our executive officers and certain key employees as part of our equity compensation plan. The actual number of performance-based restricted stock units can vary from zero to 200% of the target depending on goal achievement relative to a gross accident period loss ratio and policies in force goal matrix. The overall performance period begins on January 1, 2026 and ends on December 31, 2028 and is divided into three sub-performance periods, each beginning on January 1, 2026 and ending on December 31, 2026, 2027, and 2028, respectively. These overlapping sub-performance periods are one, two, and three years in duration. Expense for each sub-performance period is recognized ratably over the requisite service period. Awards earned in any sub-performance period vest on the Compensation Committee Certification date, which is expected to be in the first quarter of the subsequent year.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performance-based restricted stock units expense is recognized based on the grant date fair value of the award, which was determined using the Company’s close price as of the grant date. This expense is recognized using a graded vesting approach. We assess the probability of the performance conditions being met on a quarterly basis and begin recognizing expense only once it is deemed probable that the performance criteria will be satisfied.</w:t>
      </w:r>
    </w:p>
    <w:p>
      <w:pPr>
        <w:pStyle w:val="TextBody"/>
        <w:bidi w:val="0"/>
        <w:spacing w:lineRule="auto" w:line="288" w:before="0" w:after="180"/>
        <w:ind w:left="0" w:right="0" w:firstLine="360"/>
        <w:jc w:val="left"/>
      </w:pPr>
      <w:r>
        <w:rPr>
          <w:rFonts w:ascii="Times New Roman;serif" w:hAnsi="Times New Roman;serif"/>
          <w:b/>
          <w:color w:val="000000"/>
          <w:sz w:val="20"/>
        </w:rPr>
        <w:t>Share Repurchases</w:t>
      </w:r>
      <w:r>
        <w:rPr>
          <w:color w:val="000000"/>
        </w:rPr>
        <w:t>—</w:t>
      </w:r>
      <w:r>
        <w:rPr>
          <w:rFonts w:ascii="Times New Roman;serif" w:hAnsi="Times New Roman;serif"/>
          <w:b w:val="false"/>
          <w:color w:val="000000"/>
          <w:sz w:val="20"/>
        </w:rPr>
        <w:t xml:space="preserve">We are authorized to repurchase shares of our Class A common stock under a stock repurchase program, or Repurchase Program, approved by our board of directors. We retire shares of our Class A common stock immediately upon repurchase. In connection with the early adoption of Accounting Standards Update, or ASU, No.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 xml:space="preserve">during the second quarter of 2026, we elected to recognize the excess of the repurchase price over par value entirely as a reduction of additional paid-in capital, or APIC, provided that APIC remains positive. The repurchase price includes direct and incremental transaction costs incurred to repurchase the shares, which are recorded as a reduction of APIC.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accounting policy election is reflected within the condensed consolidated balance sheets and the condensed consolidated statements of redeemable convertible preferred stock and stockholders’ equity. See Note 9, “Capital Stock,” for further details regarding our repurchase activity. </w:t>
      </w:r>
    </w:p>
    <w:p>
      <w:pPr>
        <w:pStyle w:val="TextBody"/>
        <w:bidi w:val="0"/>
        <w:spacing w:lineRule="auto" w:line="288" w:before="0" w:after="180"/>
        <w:ind w:left="0" w:right="0" w:firstLine="360"/>
        <w:jc w:val="left"/>
      </w:pPr>
      <w:r>
        <w:rPr>
          <w:rFonts w:ascii="Times New Roman;serif" w:hAnsi="Times New Roman;serif"/>
          <w:b/>
          <w:color w:val="000000"/>
          <w:sz w:val="20"/>
        </w:rPr>
        <w:t>Warrant Compensation</w:t>
      </w:r>
      <w:r>
        <w:rPr>
          <w:color w:val="000000"/>
        </w:rPr>
        <w:t>—</w:t>
      </w:r>
      <w:r>
        <w:rPr>
          <w:rFonts w:ascii="Times New Roman;serif" w:hAnsi="Times New Roman;serif"/>
          <w:b w:val="false"/>
          <w:color w:val="000000"/>
          <w:sz w:val="20"/>
        </w:rPr>
        <w:t>In October 2021, we closed the investment agreement with Carvana Group, LLC, or Investment Agreement, that included the issuance of 14.1 million shares of redeemable convertible preferred stock designated as the Series A Convertible Preferred Stock and the issuance of eight tranches of warrants to purchase shares of the Company’s Class A common stock, of which three tranches expired unexercised in 2025. As part of the Investment Agreement, we and Carvana also entered into a five-year commercial agreement whereby our auto insurance products are embedded into the integrated automobile insurance solution for Carvana’s online buying platform, or Integrated Platform. The commercial agreement provides for agent commissions payable to Carvana for policy origination.</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On August 31, 2026, we extended the commercial agreement, cancelled the outstanding long-term warrants previously issued to Carvana, and concurrently issued Carvana five replacement warrant tranches, or Replacement Warrants, with the opportunity to purchase a maximum of approximately 1.5 million shares of Class A common stock. The Replacement Warrants expire on August 31, 2028. We accounted for the cancellation and concurrent issuance of the Replacement Warrants as a modification of equity classified non-employee share-based payment awards under ASC 718, </w:t>
      </w:r>
      <w:r>
        <w:rPr>
          <w:rFonts w:ascii="Times New Roman;serif" w:hAnsi="Times New Roman;serif"/>
          <w:b w:val="false"/>
          <w:i/>
          <w:color w:val="000000"/>
          <w:sz w:val="20"/>
        </w:rPr>
        <w:t>Stock Compensation</w:t>
      </w:r>
      <w:r>
        <w:rPr>
          <w:rFonts w:ascii="Times New Roman;serif" w:hAnsi="Times New Roman;serif"/>
          <w:b w:val="false"/>
          <w:color w:val="000000"/>
          <w:sz w:val="2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Compensation expense associated with the Carvana warrants is recognized based on the applicable fair value of the awards and our assessment of the probability of achieving the related performance conditions. The fair value of the warrants is estimated using a Black-Scholes-Merton model, or BSM. The BSM estimates the fair value per warrant for each tranche based on the underlying stock price, exercise price, expected term, volatility (based on historical volatility of our common stock over a period commensurate with the expected term), risk-free interest rate (based on U.S. Constant Maturity Yield Curve over a similar term), and expected dividend yield. For modifications of the warrants, we recognize the incremental compensation cost over the original award, which is measured as the excess, if any, of the fair value of the modified award over the fair value of the original award immediately before the modification. For those warrant tranches that were probable of vesting immediately before the modification, we continue recognizing that compensation cost as long as the original milestone continues to be probable of vesting.</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warrants vest upon achievement of certain performance milestones related to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 condition is no longer probable of achievement, any previously recognized compensation expense is reversed and no subsequent compensation expense is recognized until achievement is once again probable, at which point a cumulative catch-up is recognized.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refer to Note 10, “Share-Based Compensation.”</w:t>
      </w:r>
    </w:p>
    <w:p>
      <w:pPr>
        <w:pStyle w:val="TextBody"/>
        <w:bidi w:val="0"/>
        <w:spacing w:lineRule="auto" w:line="288" w:before="0" w:after="180"/>
        <w:ind w:left="0" w:right="0" w:firstLine="360"/>
        <w:jc w:val="left"/>
      </w:pPr>
      <w:r>
        <w:rPr>
          <w:rFonts w:ascii="Times New Roman;serif" w:hAnsi="Times New Roman;serif"/>
          <w:b/>
          <w:color w:val="000000"/>
          <w:sz w:val="20"/>
        </w:rPr>
        <w:t>Reclassification</w:t>
      </w:r>
      <w:r>
        <w:rPr>
          <w:color w:val="000000"/>
        </w:rPr>
        <w:t>—</w:t>
      </w:r>
      <w:r>
        <w:rPr>
          <w:rFonts w:ascii="Times New Roman;serif" w:hAnsi="Times New Roman;serif"/>
          <w:b w:val="false"/>
          <w:color w:val="000000"/>
          <w:sz w:val="20"/>
        </w:rPr>
        <w:t xml:space="preserve">Certain prior-year amounts have been reclassified to conform with the current year presentation. These reclassifications did not have a material impact on the condensed consolidated financial statements and notes to condensed consolidated financial statements. The reclassifications within the condensed consolidated balance sheets include the presentation of “Prepaid reinsurance premiums” within “Other assets” and “Reinsurance premiums payable” within “Other liabilities.” Additionally, “Reinsurance recoverable and receivable” was disaggregated to “Reinsurance recoverable” and “Reinsurance premiums receivable,” respectively. “Deferred policy acquisition costs” were disaggregated from “Other assets” and “Premiums payable” was disaggregated from “Other liabilities” to separate captions. </w:t>
      </w:r>
    </w:p>
    <w:p>
      <w:pPr>
        <w:pStyle w:val="TextBody"/>
        <w:bidi w:val="0"/>
        <w:spacing w:lineRule="auto" w:line="288" w:before="0" w:after="180"/>
        <w:ind w:left="0" w:right="0" w:firstLine="360"/>
        <w:jc w:val="left"/>
      </w:pPr>
      <w:r>
        <w:rPr>
          <w:rFonts w:ascii="Times New Roman;serif" w:hAnsi="Times New Roman;serif"/>
          <w:b/>
          <w:color w:val="000000"/>
          <w:sz w:val="20"/>
        </w:rPr>
        <w:t>Recently Adopted Accounting Pronouncements</w:t>
      </w:r>
      <w:r>
        <w:rPr>
          <w:color w:val="000000"/>
        </w:rPr>
        <w:t>—</w:t>
      </w:r>
      <w:r>
        <w:rPr>
          <w:rFonts w:ascii="Times New Roman;serif" w:hAnsi="Times New Roman;serif"/>
          <w:b w:val="false"/>
          <w:color w:val="000000"/>
          <w:sz w:val="20"/>
        </w:rPr>
        <w:t xml:space="preserve">In December 2025, the Financial Accounting Standards Board issued ASU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serves to clarify, correct errors, or make minor improvements to various topics within the Accounting Standards Codification. ASU 2025-12 is effective for fiscal years beginning after December 15, 2026, including interim periods within those annual reporting periods. Early adoption is permitted, and entities may elect to adopt the amendments on an issue-by-issue basis. Certain amendments are required to be applied retrospectively, while others are applied prospectively.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early adopted the provisions of ASU 2025-12 to clarify methods to account for treasury stock retirements on a prospective basis. The adoption of this guidance did not result in a cumulative-effect adjustment to opening retained earnings, accumulated deficit, APIC, or total stockholders’ equity. Furthermore, the adoption of this guidance did not have a material impact on our condensed consolidated statements of operations and comprehensive income (loss) or condensed consolidated statements of cash flows.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pPr>
      <w:r>
        <w:rPr>
          <w:rFonts w:ascii="Times New Roman;serif" w:hAnsi="Times New Roman;serif"/>
          <w:b/>
          <w:color w:val="000000"/>
          <w:sz w:val="20"/>
        </w:rPr>
        <w:t>3.</w:t>
      </w: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short-term investments and available-for-sale fixed maturity securities at September 30, 2026 and December 31, 2025 are as follows:</w:t>
      </w:r>
    </w:p>
    <w:tbl>
      <w:tblPr>
        <w:tblW w:w="10205" w:type="dxa"/>
        <w:jc w:val="left"/>
        <w:tblInd w:w="0" w:type="dxa"/>
        <w:tblLayout w:type="fixed"/>
        <w:tblCellMar>
          <w:top w:w="28" w:type="dxa"/>
          <w:left w:w="28" w:type="dxa"/>
          <w:bottom w:w="28" w:type="dxa"/>
          <w:right w:w="28" w:type="dxa"/>
        </w:tblCellMar>
      </w:tblPr>
      <w:tblGrid>
        <w:gridCol w:w="970"/>
        <w:gridCol w:w="725"/>
        <w:gridCol w:w="729"/>
        <w:gridCol w:w="242"/>
        <w:gridCol w:w="710"/>
        <w:gridCol w:w="125"/>
        <w:gridCol w:w="109"/>
        <w:gridCol w:w="109"/>
        <w:gridCol w:w="109"/>
        <w:gridCol w:w="512"/>
        <w:gridCol w:w="988"/>
        <w:gridCol w:w="268"/>
        <w:gridCol w:w="109"/>
        <w:gridCol w:w="109"/>
        <w:gridCol w:w="109"/>
        <w:gridCol w:w="381"/>
        <w:gridCol w:w="734"/>
        <w:gridCol w:w="198"/>
        <w:gridCol w:w="109"/>
        <w:gridCol w:w="109"/>
        <w:gridCol w:w="109"/>
        <w:gridCol w:w="311"/>
        <w:gridCol w:w="855"/>
        <w:gridCol w:w="161"/>
        <w:gridCol w:w="109"/>
        <w:gridCol w:w="109"/>
        <w:gridCol w:w="109"/>
        <w:gridCol w:w="211"/>
        <w:gridCol w:w="616"/>
        <w:gridCol w:w="161"/>
      </w:tblGrid>
      <w:tr>
        <w:tc>
          <w:tcPr>
            <w:tcW w:w="9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reviewed the available-for-sale fixed maturity securities and short-term investments at each balance sheet date to consider whether it was necessary to recognize a credit loss as of September 30, 2026 and December 31, 2025. We have not identified specific securities that we intend to sell, and it is not more likely than not that we will be required to sell the securities before recovery. Management concluded that the unrealized losses on the available-for-sale fixed maturity securities and short-term investments were due to non-credit related factors and, therefore, there was no allowance for credit loss as of September 30, 2026 and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September 30, 2026 and December 31, 2025:</w:t>
      </w:r>
    </w:p>
    <w:tbl>
      <w:tblPr>
        <w:tblW w:w="10205" w:type="dxa"/>
        <w:jc w:val="left"/>
        <w:tblInd w:w="0" w:type="dxa"/>
        <w:tblLayout w:type="fixed"/>
        <w:tblCellMar>
          <w:top w:w="28" w:type="dxa"/>
          <w:left w:w="28" w:type="dxa"/>
          <w:bottom w:w="28" w:type="dxa"/>
          <w:right w:w="28" w:type="dxa"/>
        </w:tblCellMar>
      </w:tblPr>
      <w:tblGrid>
        <w:gridCol w:w="1170"/>
        <w:gridCol w:w="960"/>
        <w:gridCol w:w="966"/>
        <w:gridCol w:w="211"/>
        <w:gridCol w:w="616"/>
        <w:gridCol w:w="109"/>
        <w:gridCol w:w="109"/>
        <w:gridCol w:w="109"/>
        <w:gridCol w:w="109"/>
        <w:gridCol w:w="211"/>
        <w:gridCol w:w="580"/>
        <w:gridCol w:w="109"/>
        <w:gridCol w:w="109"/>
        <w:gridCol w:w="109"/>
        <w:gridCol w:w="109"/>
        <w:gridCol w:w="220"/>
        <w:gridCol w:w="535"/>
        <w:gridCol w:w="114"/>
        <w:gridCol w:w="109"/>
        <w:gridCol w:w="109"/>
        <w:gridCol w:w="109"/>
        <w:gridCol w:w="252"/>
        <w:gridCol w:w="503"/>
        <w:gridCol w:w="131"/>
        <w:gridCol w:w="109"/>
        <w:gridCol w:w="109"/>
        <w:gridCol w:w="109"/>
        <w:gridCol w:w="211"/>
        <w:gridCol w:w="616"/>
        <w:gridCol w:w="109"/>
        <w:gridCol w:w="109"/>
        <w:gridCol w:w="109"/>
        <w:gridCol w:w="109"/>
        <w:gridCol w:w="211"/>
        <w:gridCol w:w="580"/>
        <w:gridCol w:w="156"/>
      </w:tblGrid>
      <w:tr>
        <w:tc>
          <w:tcPr>
            <w:tcW w:w="11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Treasury securities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0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c>
          <w:tcPr>
            <w:tcW w:w="30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other investments related to our private equity investments were zero and $4.4 million, respectively. We did not recognize any impairment losses during the three months ended September 30, 2026. During the nine months ended September 30, 2026, we recognized an impairment loss of $4.4 million related to our private equity investments, which reduced the carrying amount of other investments to zero. The impairment loss was recorded in net investment income in our condensed consolidated statements of operations and comprehensive income (loss). There were no realized or unrealized gains or losses recognized on private equity investments for the three and nine months ended September 30, 2026 and 2025, and no impairment losses recognized for the three and nine months ended September 30,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gross and net realized gains and losses on short-term investments and available-for-sale fixed maturities that have been included in the condensed consolidated statements of operations and comprehensive income (loss) for the three and nine months ended September 30, 2026 and 2025:</w:t>
      </w:r>
    </w:p>
    <w:tbl>
      <w:tblPr>
        <w:tblW w:w="8537" w:type="dxa"/>
        <w:jc w:val="left"/>
        <w:tblInd w:w="0" w:type="dxa"/>
        <w:tblLayout w:type="fixed"/>
        <w:tblCellMar>
          <w:top w:w="28" w:type="dxa"/>
          <w:left w:w="28" w:type="dxa"/>
          <w:bottom w:w="28" w:type="dxa"/>
          <w:right w:w="28" w:type="dxa"/>
        </w:tblCellMar>
      </w:tblPr>
      <w:tblGrid>
        <w:gridCol w:w="1049"/>
        <w:gridCol w:w="921"/>
        <w:gridCol w:w="925"/>
        <w:gridCol w:w="305"/>
        <w:gridCol w:w="696"/>
        <w:gridCol w:w="157"/>
        <w:gridCol w:w="157"/>
        <w:gridCol w:w="157"/>
        <w:gridCol w:w="157"/>
        <w:gridCol w:w="305"/>
        <w:gridCol w:w="588"/>
        <w:gridCol w:w="157"/>
        <w:gridCol w:w="109"/>
        <w:gridCol w:w="109"/>
        <w:gridCol w:w="109"/>
        <w:gridCol w:w="293"/>
        <w:gridCol w:w="668"/>
        <w:gridCol w:w="151"/>
        <w:gridCol w:w="151"/>
        <w:gridCol w:w="151"/>
        <w:gridCol w:w="151"/>
        <w:gridCol w:w="293"/>
        <w:gridCol w:w="564"/>
        <w:gridCol w:w="214"/>
      </w:tblGrid>
      <w:t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on investments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short-term investments and available-for-sale fixed maturity securities by contractual maturity at September 30, 2026:</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issuers may have the right to call or prepay obligations with or without call or prepayment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817"/>
        <w:gridCol w:w="1593"/>
        <w:gridCol w:w="1596"/>
        <w:gridCol w:w="286"/>
        <w:gridCol w:w="551"/>
        <w:gridCol w:w="147"/>
        <w:gridCol w:w="147"/>
        <w:gridCol w:w="147"/>
        <w:gridCol w:w="147"/>
        <w:gridCol w:w="286"/>
        <w:gridCol w:w="551"/>
        <w:gridCol w:w="147"/>
        <w:gridCol w:w="109"/>
        <w:gridCol w:w="109"/>
        <w:gridCol w:w="109"/>
        <w:gridCol w:w="254"/>
        <w:gridCol w:w="618"/>
        <w:gridCol w:w="131"/>
        <w:gridCol w:w="131"/>
        <w:gridCol w:w="131"/>
        <w:gridCol w:w="131"/>
        <w:gridCol w:w="254"/>
        <w:gridCol w:w="618"/>
        <w:gridCol w:w="195"/>
      </w:tblGrid>
      <w:tr>
        <w:tc>
          <w:tcPr>
            <w:tcW w:w="181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5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fixed maturities and short-term investments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cash equivalents, restricted cash, and restricted cash equivalents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other investments</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short-term investments and available-for-sale fixed maturity securities at September 30, 2026 and December 31, 2025:</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Non-rated</w:t>
            </w:r>
            <w:r>
              <w:rPr>
                <w:rFonts w:ascii="Times New Roman;serif" w:hAnsi="Times New Roman;serif"/>
                <w:b w:val="false"/>
                <w:color w:val="000000"/>
                <w:sz w:val="13"/>
              </w:rPr>
              <w:t>(1)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b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Certain investments are not rated by a nationally recognized statistical rating organization, or NRSRO. The absence of an NRSRO rating does not, by itself, indicate elevated credit risk.</w:t>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3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certain regulatory requirements, we are required to hold assets on deposit with various state insurance departments for the benefit of policyholders. These special deposits are included in available-for-sale fixed maturity securities on the condensed consolidated balance sheets. As of September 30, 2026 and December 31, 2025, these required deposits had an amortized cost of $13.1 million and $15.7 million, respectively, and fair value of $12.9 million and $15.9 million, respectively. We maintain restricted cash equivalents and certain investments in a trust to meet collateral requirements with the fronting carrier. As of September 30, 2026 and December 31, 2025, the fair value of investments held in trust was $72.7 million and $77.0 million, respectively. There are withdrawal and other restrictions on these deposits. Ultimately, when unearned premiums run off and loss reserves are paid under this program, any remaining trust balances will be released and available for general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pPr>
      <w:r>
        <w:rPr>
          <w:rFonts w:ascii="Times New Roman;serif" w:hAnsi="Times New Roman;serif"/>
          <w:b/>
          <w:color w:val="000000"/>
          <w:sz w:val="20"/>
        </w:rPr>
        <w:t>4.</w:t>
      </w: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assets measured and reported at fair value as of September 30, 2026 and December 31, 2025:</w:t>
      </w:r>
    </w:p>
    <w:tbl>
      <w:tblPr>
        <w:tblW w:w="8415" w:type="dxa"/>
        <w:jc w:val="left"/>
        <w:tblInd w:w="0" w:type="dxa"/>
        <w:tblLayout w:type="fixed"/>
        <w:tblCellMar>
          <w:top w:w="28" w:type="dxa"/>
          <w:left w:w="28" w:type="dxa"/>
          <w:bottom w:w="28" w:type="dxa"/>
          <w:right w:w="28" w:type="dxa"/>
        </w:tblCellMar>
      </w:tblPr>
      <w:tblGrid>
        <w:gridCol w:w="1390"/>
        <w:gridCol w:w="1226"/>
        <w:gridCol w:w="123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c>
          <w:tcPr>
            <w:tcW w:w="139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all our different classes of Level 2 fixed maturities using quoted prices from independent pricing vendors or broker/dealers, pricing models, quoted prices of securities with similar characteristics, or discounted cash flows. Short-term investments are classified within Level 1 and valued using quoted prices in active markets for identical securities. All significant inputs were observable in the active markets. </w:t>
      </w:r>
    </w:p>
    <w:p>
      <w:pPr>
        <w:pStyle w:val="TextBody"/>
        <w:bidi w:val="0"/>
        <w:spacing w:before="0" w:after="18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September 30, 2026 and December 31, 2025,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44"/>
        <w:gridCol w:w="391"/>
        <w:gridCol w:w="392"/>
        <w:gridCol w:w="313"/>
        <w:gridCol w:w="915"/>
        <w:gridCol w:w="163"/>
        <w:gridCol w:w="109"/>
        <w:gridCol w:w="109"/>
        <w:gridCol w:w="109"/>
        <w:gridCol w:w="591"/>
        <w:gridCol w:w="1727"/>
        <w:gridCol w:w="308"/>
        <w:gridCol w:w="109"/>
        <w:gridCol w:w="109"/>
        <w:gridCol w:w="109"/>
        <w:gridCol w:w="303"/>
        <w:gridCol w:w="886"/>
        <w:gridCol w:w="157"/>
        <w:gridCol w:w="109"/>
        <w:gridCol w:w="109"/>
        <w:gridCol w:w="109"/>
        <w:gridCol w:w="564"/>
        <w:gridCol w:w="1648"/>
        <w:gridCol w:w="422"/>
      </w:tblGrid>
      <w:tr>
        <w:tc>
          <w:tcPr>
            <w:tcW w:w="4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2025</w:t>
            </w:r>
          </w:p>
        </w:tc>
      </w:tr>
      <w:t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short-term financial instruments approximate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5.</w:t>
      </w:r>
      <w:r>
        <w:rPr>
          <w:rFonts w:ascii="Times New Roman;serif" w:hAnsi="Times New Roman;serif"/>
          <w:b/>
          <w:color w:val="000000"/>
          <w:sz w:val="20"/>
        </w:rPr>
        <w:t>LOSS AND LOSS ADJUSTMENT EXPENSE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beginning and ending reserve balances for loss and LAE, net of reinsurance:</w:t>
      </w:r>
    </w:p>
    <w:tbl>
      <w:tblPr>
        <w:tblW w:w="6461" w:type="dxa"/>
        <w:jc w:val="left"/>
        <w:tblInd w:w="0" w:type="dxa"/>
        <w:tblLayout w:type="fixed"/>
        <w:tblCellMar>
          <w:top w:w="28" w:type="dxa"/>
          <w:left w:w="28" w:type="dxa"/>
          <w:bottom w:w="28" w:type="dxa"/>
          <w:right w:w="28" w:type="dxa"/>
        </w:tblCellMar>
      </w:tblPr>
      <w:tblGrid>
        <w:gridCol w:w="1387"/>
        <w:gridCol w:w="1216"/>
        <w:gridCol w:w="1221"/>
        <w:gridCol w:w="248"/>
        <w:gridCol w:w="724"/>
        <w:gridCol w:w="128"/>
        <w:gridCol w:w="128"/>
        <w:gridCol w:w="128"/>
        <w:gridCol w:w="128"/>
        <w:gridCol w:w="248"/>
        <w:gridCol w:w="724"/>
        <w:gridCol w:w="181"/>
      </w:tblGrid>
      <w:t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LAE reserves, September 30</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losses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September 30</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incurred losses and LAE attributable to prior accident years saw a decrease of $37.3 million and $22.8 million for the nine months ended September 30, 2026 and 2025, respectively. For the nine months ended September 30, 2026, the development of incurred losses and LAE related to prior periods was primarily driven by lower-than-expected reported losses and LAE from accident year 2025 on both liability and physical damage coverages and the identification of additional subrogation opportunities resulting from model improvements. For the nine months ended September 30, 2025, the development of incurred losses and LAE related to prior periods was primarily driven by lower-than-expected reported losses and LAE from accident year 2024 on both liability and physical damage coverages.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pPr>
      <w:r>
        <w:rPr>
          <w:rFonts w:ascii="Times New Roman;serif" w:hAnsi="Times New Roman;serif"/>
          <w:b/>
          <w:color w:val="000000"/>
          <w:sz w:val="20"/>
        </w:rPr>
        <w:t>6.</w:t>
      </w:r>
      <w:r>
        <w:rPr>
          <w:rFonts w:ascii="Times New Roman;serif" w:hAnsi="Times New Roman;serif"/>
          <w:b/>
          <w:color w:val="000000"/>
          <w:sz w:val="20"/>
        </w:rPr>
        <w:t>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condensed consolidated statements of operations and comprehensive income (loss) for reinsurance for the three and nine months ended September 30, 2026 and 2025:</w:t>
      </w:r>
    </w:p>
    <w:tbl>
      <w:tblPr>
        <w:tblW w:w="8063" w:type="dxa"/>
        <w:jc w:val="left"/>
        <w:tblInd w:w="0" w:type="dxa"/>
        <w:tblLayout w:type="fixed"/>
        <w:tblCellMar>
          <w:top w:w="28" w:type="dxa"/>
          <w:left w:w="28" w:type="dxa"/>
          <w:bottom w:w="28" w:type="dxa"/>
          <w:right w:w="28" w:type="dxa"/>
        </w:tblCellMar>
      </w:tblPr>
      <w:tblGrid>
        <w:gridCol w:w="875"/>
        <w:gridCol w:w="768"/>
        <w:gridCol w:w="771"/>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written:</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and LAE incurred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7.</w:t>
      </w:r>
      <w:r>
        <w:rPr>
          <w:rFonts w:ascii="Times New Roman;serif" w:hAnsi="Times New Roman;serif"/>
          <w:b/>
          <w:color w:val="000000"/>
          <w:sz w:val="20"/>
        </w:rPr>
        <w:t>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a $200.0 million six-year term loan, or Amended Term Loan, with the principal amount due and payable upon maturity on October 29, 2030. Interest was payable quarterly and determined on a floating interest rate calculated on the Secured Overnight Financing Rate, or SOFR,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prepaid all of the outstanding principal balance of the Amended Term Loan with borrowings under the senior secured term loan described below. The prepayment resulted in a loss on extinguishment of debt of $4.9 million, primarily related to accelerated amortization of debt discount and issuance costs and a prepayment premium.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obtained a $200.0 million senior secured term loan that matures in May 2029. We incurred $2.3 million of debt discount and issuance costs related to the senior secured term loan, which were capitalized and will be amortized over the duration of the senior secured term loan. We are required to make quarterly principal payments, which commenced on September 30, 2026, equal to approximately 0.25% of the original principal amount in each of the first two years following the closing date and 1.25% quarterly in the third year, with the unpaid balance due at maturity. Interest is variable and calculated between SOFR plus 3.0% and SOFR plus 3.75% and is payable quarterly in cash. The SOFR margin is based upon the debt-to-capital ratio which is calculated on the last day of each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senior secured term loan requires us to maintain cash and cash equivalents held with the lender to be at least 25.0% of the outstanding principal balance at all times. As of September 30, 2026, we maintained $49.9 million of cash and cash equivalents with the lender, which we have recorded within restricted cash and cash equivalents on our condensed consolidated balance sheets. The senior secured term loan also contains debt covenants, which commenced for the three months ended September 30, 2026, and are measured at the end of each fiscal quarter.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covenants require mandatory minimum thresholds on our consolidated net worth, debt service coverage, and regulated subsidiary equity. We are also required to maintain a minimum risk-based capital ratio on our domestic insurance subsidiaries. Additionally, the agreement includes a maximum debt-to-capital ratio, which includes scheduled step-downs over the duration of the senior secured term loan.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senior secured term loan is secured by assets of Root, Inc. and those of our wholly-owned subsidiary loan parties. In addition, we have pledged 100% of the capital stock of our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carrying value of long-term debt as of September 30, 2026 and December 31, 2025:</w:t>
      </w:r>
    </w:p>
    <w:tbl>
      <w:tblPr>
        <w:tblW w:w="7270" w:type="dxa"/>
        <w:jc w:val="left"/>
        <w:tblInd w:w="0" w:type="dxa"/>
        <w:tblLayout w:type="fixed"/>
        <w:tblCellMar>
          <w:top w:w="28" w:type="dxa"/>
          <w:left w:w="28" w:type="dxa"/>
          <w:bottom w:w="28" w:type="dxa"/>
          <w:right w:w="28" w:type="dxa"/>
        </w:tblCellMar>
      </w:tblPr>
      <w:tblGrid>
        <w:gridCol w:w="1394"/>
        <w:gridCol w:w="1228"/>
        <w:gridCol w:w="1232"/>
        <w:gridCol w:w="348"/>
        <w:gridCol w:w="1017"/>
        <w:gridCol w:w="180"/>
        <w:gridCol w:w="109"/>
        <w:gridCol w:w="109"/>
        <w:gridCol w:w="109"/>
        <w:gridCol w:w="332"/>
        <w:gridCol w:w="970"/>
        <w:gridCol w:w="242"/>
      </w:tblGrid>
      <w:t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Term Loan principal balance</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principal balance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required principal payments on long-term debt as of September 30, 2026 are as follows:</w:t>
      </w:r>
    </w:p>
    <w:tbl>
      <w:tblPr>
        <w:tblW w:w="3551"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332"/>
        <w:gridCol w:w="970"/>
        <w:gridCol w:w="242"/>
      </w:tblGrid>
      <w:t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8.</w:t>
      </w:r>
      <w:r>
        <w:rPr>
          <w:rFonts w:ascii="Times New Roman;serif" w:hAnsi="Times New Roman;serif"/>
          <w:b/>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effective tax rate was 0.7% and 1.1% for the nine months ended September 30, 2026 and 2025, respectively. The difference between these rates and the U.S. federal income tax rate of 21.0% was primarily due to state income tax expense and a full valuation allowance on our federal and state deferred tax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maintained a full valuation allowance against our deferred tax assets. We expect to maintain a full valuation allowance until it becomes more likely than not that the deferred tax assets will be realized. However, given our anticipated future earnings, management believes that there is a reasonable possibility that in the foreseeable future, sufficient positive evidence may become available to reach a conclusion that all or a portion of the valuation allowance may no longer be needed. Release of the valuation allowance would result in recognition of certain deferred tax assets and a corresponding material income tax benefit for the period the release is recorded. The exact timing and amount of the valuation allowance release would depend on our financial performance, projected taxable income in the relevant jurisdictions, and ongoing evaluation of available positive and negative evidence.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we did not have any unrecognized tax benefits for uncertain tax positions and had no interest or penalties related to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pPr>
      <w:r>
        <w:rPr>
          <w:rFonts w:ascii="Times New Roman;serif" w:hAnsi="Times New Roman;serif"/>
          <w:b/>
          <w:color w:val="000000"/>
          <w:sz w:val="20"/>
        </w:rPr>
        <w:t>9.</w:t>
      </w:r>
      <w:r>
        <w:rPr>
          <w:rFonts w:ascii="Times New Roman;serif" w:hAnsi="Times New Roman;serif"/>
          <w:b/>
          <w:color w:val="000000"/>
          <w:sz w:val="20"/>
        </w:rPr>
        <w:t>CAPITAL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2026, we announced that our board of directors approved the Repurchase Program for the repurchase of up to $75.0 million of our outstanding shares of Class A common stock, excluding transaction costs. We may utilize various methods to effect repurchases, which include open market purchases, privately negotiated transactions, block purchases, accelerated share repurchase agreements or a combination of methods, including pursuant to trading plans adopted under Rule 10b5-1 under the Securities Exchange Act of 1934, or the Exchange Act. The Repurchase Program does not have a set expiration date and may be modified, suspended, or discontinued at any time at the discretion of our board of directors. The timing and amount of any repurchases under the Repurchase Program will depend upon several factors, including market and business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repurchased and immediately retired 0.7 million shares of our Class A common stock for an aggregate amount, including transaction costs, of $36.4 million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10.</w:t>
      </w:r>
      <w:r>
        <w:rPr>
          <w:rFonts w:ascii="Times New Roman;serif" w:hAnsi="Times New Roman;serif"/>
          <w:b/>
          <w:color w:val="000000"/>
          <w:sz w:val="20"/>
        </w:rPr>
        <w:t>SHARE-BASED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In October 2021, we issued Carvana </w:t>
      </w:r>
      <w:r>
        <w:rPr>
          <w:rFonts w:ascii="Times New Roman;serif" w:hAnsi="Times New Roman;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erif" w:hAnsi="Times New Roman;serif"/>
          <w:b w:val="false"/>
          <w:color w:val="000000"/>
          <w:sz w:val="20"/>
        </w:rPr>
        <w:t>shares of Class A common stock.</w:t>
      </w:r>
      <w:r>
        <w:rPr>
          <w:color w:val="000000"/>
          <w:shd w:fill="FFFFFF" w:val="clear"/>
        </w:rPr>
        <w:t xml:space="preserve"> </w:t>
      </w:r>
      <w:r>
        <w:rPr>
          <w:rFonts w:ascii="Times New Roman;serif" w:hAnsi="Times New Roman;serif"/>
          <w:b w:val="false"/>
          <w:color w:val="000000"/>
          <w:sz w:val="20"/>
        </w:rPr>
        <w:t>The short-term warrants expired unexercised on September 1, 2025, at which point the long-term warrants became probable of vesting; the long-term warrants had an expiration date of September 1, 2027.</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On August 31, 2026, we extended the commercial agreement, cancelled the outstanding long-term warrants previously issued to Carvana, and concurrently issued Carvana five tranches of Replacement Warrants, with the opportunity to purchase a maximum of approximately 1.5 million shares of Class A common stock. We accounted for the cancellation and concurrent issuance of the Replacement Warrants as a modification of equity classified non-employee share-based payment awards under ASC 718, </w:t>
      </w:r>
      <w:r>
        <w:rPr>
          <w:rFonts w:ascii="Times New Roman;serif" w:hAnsi="Times New Roman;serif"/>
          <w:b w:val="false"/>
          <w:i/>
          <w:color w:val="000000"/>
          <w:sz w:val="20"/>
        </w:rPr>
        <w:t>Stock Compensation</w:t>
      </w:r>
      <w:r>
        <w:rPr>
          <w:rFonts w:ascii="Times New Roman;serif" w:hAnsi="Times New Roman;serif"/>
          <w:b w:val="false"/>
          <w:color w:val="000000"/>
          <w:sz w:val="20"/>
        </w:rPr>
        <w:t>. The Replacement Warrants have an expiration date of August 31, 2028.</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Original Warrants and Replacement Warrants were estimated immediately before and after the modification date, respectively, using a BSM. Incremental compensation costs resulting from the modification were measured as the excess of the fair value of the Replacement Warrants over the fair value of the Original Warrants immediately before modification. The BSM uses certain inputs, assumptions and estimates, as follows: </w:t>
      </w:r>
    </w:p>
    <w:tbl>
      <w:tblPr>
        <w:tblW w:w="6354"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380"/>
        <w:gridCol w:w="380"/>
        <w:gridCol w:w="950"/>
        <w:gridCol w:w="109"/>
        <w:gridCol w:w="109"/>
        <w:gridCol w:w="109"/>
        <w:gridCol w:w="431"/>
        <w:gridCol w:w="431"/>
        <w:gridCol w:w="1253"/>
      </w:tblGrid>
      <w:t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2442" w:type="dxa"/>
            <w:gridSpan w:val="6"/>
            <w:tcBorders/>
          </w:tcPr>
          <w:p>
            <w:pPr>
              <w:pStyle w:val="TableContents"/>
              <w:bidi w:val="0"/>
              <w:spacing w:before="0" w:after="283"/>
              <w:jc w:val="left"/>
              <w:rPr>
                <w:sz w:val="4"/>
                <w:szCs w:val="4"/>
              </w:rPr>
            </w:pPr>
            <w:r>
              <w:rPr>
                <w:sz w:val="4"/>
                <w:szCs w:val="4"/>
              </w:rPr>
            </w:r>
          </w:p>
        </w:tc>
      </w:tr>
      <w:t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Original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Replacement Warrants</w:t>
            </w:r>
          </w:p>
        </w:tc>
      </w:tr>
      <w:t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pPr>
      <w:r>
        <w:rPr>
          <w:rFonts w:ascii="Times New Roman;serif" w:hAnsi="Times New Roman;serif"/>
          <w:b w:val="false"/>
          <w:color w:val="000000"/>
          <w:sz w:val="20"/>
          <w:shd w:fill="FFFFFF" w:val="clear"/>
        </w:rPr>
        <w:t>We recognized compensation expense based on our assessment of the probability of and progress toward achieving the applicable policy origination milestones</w:t>
      </w:r>
      <w:r>
        <w:rPr>
          <w:rFonts w:ascii="Times New Roman;serif" w:hAnsi="Times New Roman;serif"/>
          <w:b w:val="false"/>
          <w:color w:val="000000"/>
          <w:sz w:val="20"/>
        </w:rPr>
        <w:t xml:space="preserve">. The Replacement Warrant policy origination thresholds are measured cumulatively from September 1, 2026 through August 31, 2028. Compensation expense for the three and nine months ended </w:t>
      </w:r>
      <w:r>
        <w:rPr>
          <w:rFonts w:ascii="Times New Roman;serif" w:hAnsi="Times New Roman;serif"/>
          <w:b w:val="false"/>
          <w:color w:val="000000"/>
          <w:sz w:val="20"/>
          <w:shd w:fill="FFFFFF" w:val="clear"/>
        </w:rPr>
        <w:t xml:space="preserve">September 30, 2026 included amounts related to the Original Warrants and incremental compensation cost resulting from the August 31, 2026 modification, while compensation expense for the comparable 2025 periods related solely to the Original Warrants. </w:t>
      </w:r>
      <w:r>
        <w:rPr>
          <w:rFonts w:ascii="Times New Roman;serif" w:hAnsi="Times New Roman;serif"/>
          <w:b w:val="false"/>
          <w:color w:val="000000"/>
          <w:sz w:val="20"/>
        </w:rPr>
        <w:t xml:space="preserve">For the three and nine months ended </w:t>
      </w:r>
      <w:r>
        <w:rPr>
          <w:rFonts w:ascii="Times New Roman;serif" w:hAnsi="Times New Roman;serif"/>
          <w:b w:val="false"/>
          <w:color w:val="000000"/>
          <w:sz w:val="20"/>
          <w:shd w:fill="FFFFFF" w:val="clear"/>
        </w:rPr>
        <w:t>September 30, 2026</w:t>
      </w:r>
      <w:r>
        <w:rPr>
          <w:rFonts w:ascii="Times New Roman;serif" w:hAnsi="Times New Roman;serif"/>
          <w:b w:val="false"/>
          <w:color w:val="000000"/>
          <w:sz w:val="20"/>
        </w:rPr>
        <w:t xml:space="preserve">, we recognized compensation expense of $1.9 million and $5.4 million, respectively, compared to $17.2 million for each of the corresponding periods in 2025. Warrant compensation expense is recorded in other insurance expense in the condensed consolidated statements of operations and comprehensive income (loss). All of these warrants are out-of-the-money and, therefore, have no intrinsic value as of </w:t>
      </w:r>
      <w:r>
        <w:rPr>
          <w:rFonts w:ascii="Times New Roman;serif" w:hAnsi="Times New Roman;serif"/>
          <w:b w:val="false"/>
          <w:color w:val="000000"/>
          <w:sz w:val="20"/>
          <w:shd w:fill="FFFFFF" w:val="clear"/>
        </w:rPr>
        <w:t>September 30, 2026.</w:t>
      </w:r>
      <w:r>
        <w:rPr>
          <w:color w:val="000000"/>
        </w:rPr>
        <w:t xml:space="preserve"> </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The modification resulted in $10.6 million of future incremental compensation cost associated with Replacement Warrant tranches 1 and 2. As of </w:t>
      </w:r>
      <w:r>
        <w:rPr>
          <w:rFonts w:ascii="Times New Roman;serif" w:hAnsi="Times New Roman;serif"/>
          <w:b w:val="false"/>
          <w:color w:val="000000"/>
          <w:sz w:val="20"/>
          <w:shd w:fill="FFFFFF" w:val="clear"/>
        </w:rPr>
        <w:t xml:space="preserve">September 30, 2026, total unrecognized warrant compensation costs related to awards considered probable of vesting is approximately $11.7 million, consisting of $1.4 million related to tranche three of the Original Warrants and $10.3 million of incremental compensation cost related to tranche one and two of the Replacement Warrants. The unrecognized compensation cost is expected to be recognized over a </w:t>
      </w:r>
      <w:r>
        <w:rPr>
          <w:rFonts w:ascii="Times New Roman;serif" w:hAnsi="Times New Roman;serif"/>
          <w:b w:val="false"/>
          <w:color w:val="000000"/>
          <w:sz w:val="20"/>
        </w:rPr>
        <w:t>weighted-average period of 1.67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maximum remaining unrecognized compensation costs as of September 30, 2026, and other key terms of the Replacement Warrants:</w:t>
      </w:r>
    </w:p>
    <w:tbl>
      <w:tblPr>
        <w:tblW w:w="10205" w:type="dxa"/>
        <w:jc w:val="left"/>
        <w:tblInd w:w="0" w:type="dxa"/>
        <w:tblLayout w:type="fixed"/>
        <w:tblCellMar>
          <w:top w:w="28" w:type="dxa"/>
          <w:left w:w="28" w:type="dxa"/>
          <w:bottom w:w="28" w:type="dxa"/>
          <w:right w:w="28" w:type="dxa"/>
        </w:tblCellMar>
      </w:tblPr>
      <w:tblGrid>
        <w:gridCol w:w="820"/>
        <w:gridCol w:w="699"/>
        <w:gridCol w:w="703"/>
        <w:gridCol w:w="109"/>
        <w:gridCol w:w="109"/>
        <w:gridCol w:w="109"/>
        <w:gridCol w:w="246"/>
        <w:gridCol w:w="720"/>
        <w:gridCol w:w="127"/>
        <w:gridCol w:w="109"/>
        <w:gridCol w:w="109"/>
        <w:gridCol w:w="109"/>
        <w:gridCol w:w="331"/>
        <w:gridCol w:w="331"/>
        <w:gridCol w:w="333"/>
        <w:gridCol w:w="109"/>
        <w:gridCol w:w="109"/>
        <w:gridCol w:w="109"/>
        <w:gridCol w:w="599"/>
        <w:gridCol w:w="1454"/>
        <w:gridCol w:w="312"/>
        <w:gridCol w:w="109"/>
        <w:gridCol w:w="109"/>
        <w:gridCol w:w="109"/>
        <w:gridCol w:w="663"/>
        <w:gridCol w:w="651"/>
        <w:gridCol w:w="908"/>
      </w:tblGrid>
      <w:tr>
        <w:tc>
          <w:tcPr>
            <w:tcW w:w="82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c>
          <w:tcPr>
            <w:tcW w:w="2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6563" w:type="dxa"/>
            <w:gridSpan w:val="18"/>
            <w:tcBorders/>
          </w:tcPr>
          <w:p>
            <w:pPr>
              <w:pStyle w:val="TableContents"/>
              <w:bidi w:val="0"/>
              <w:spacing w:before="0" w:after="283"/>
              <w:jc w:val="left"/>
              <w:rPr>
                <w:sz w:val="4"/>
                <w:szCs w:val="4"/>
              </w:rPr>
            </w:pPr>
            <w:r>
              <w:rPr>
                <w:sz w:val="4"/>
                <w:szCs w:val="4"/>
              </w:rPr>
            </w:r>
          </w:p>
        </w:tc>
      </w:tr>
      <w:tr>
        <w:tc>
          <w:tcPr>
            <w:tcW w:w="2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Replacement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Vesting Condition</w:t>
            </w:r>
          </w:p>
        </w:tc>
      </w:tr>
      <w:tr>
        <w:tc>
          <w:tcPr>
            <w:tcW w:w="2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180,000 policy originations</w:t>
            </w:r>
          </w:p>
        </w:tc>
      </w:tr>
      <w:t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210,000 policy originations</w:t>
            </w:r>
          </w:p>
        </w:tc>
      </w:tr>
      <w:t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250,000 policy originations</w:t>
            </w:r>
          </w:p>
        </w:tc>
      </w:tr>
      <w:t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290,000 policy originations</w:t>
            </w:r>
          </w:p>
        </w:tc>
      </w:tr>
      <w:t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340,000 policy originations</w:t>
            </w:r>
          </w:p>
        </w:tc>
      </w:tr>
      <w:t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Share-Based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employees, and certain advisors. As of September 30, 2026, we had 1.5 million common shares available for issuance under the Plan.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share-based compensation expense recorded in the condensed consolidated statements of operations and comprehensive income (loss):</w:t>
      </w:r>
    </w:p>
    <w:tbl>
      <w:tblPr>
        <w:tblW w:w="9298" w:type="dxa"/>
        <w:jc w:val="left"/>
        <w:tblInd w:w="0" w:type="dxa"/>
        <w:tblLayout w:type="fixed"/>
        <w:tblCellMar>
          <w:top w:w="28" w:type="dxa"/>
          <w:left w:w="28" w:type="dxa"/>
          <w:bottom w:w="28" w:type="dxa"/>
          <w:right w:w="28" w:type="dxa"/>
        </w:tblCellMar>
      </w:tblPr>
      <w:tblGrid>
        <w:gridCol w:w="1245"/>
        <w:gridCol w:w="1092"/>
        <w:gridCol w:w="1098"/>
        <w:gridCol w:w="300"/>
        <w:gridCol w:w="578"/>
        <w:gridCol w:w="155"/>
        <w:gridCol w:w="155"/>
        <w:gridCol w:w="155"/>
        <w:gridCol w:w="155"/>
        <w:gridCol w:w="300"/>
        <w:gridCol w:w="728"/>
        <w:gridCol w:w="155"/>
        <w:gridCol w:w="109"/>
        <w:gridCol w:w="109"/>
        <w:gridCol w:w="109"/>
        <w:gridCol w:w="275"/>
        <w:gridCol w:w="666"/>
        <w:gridCol w:w="142"/>
        <w:gridCol w:w="142"/>
        <w:gridCol w:w="142"/>
        <w:gridCol w:w="142"/>
        <w:gridCol w:w="275"/>
        <w:gridCol w:w="666"/>
        <w:gridCol w:w="142"/>
        <w:gridCol w:w="109"/>
        <w:gridCol w:w="154"/>
      </w:tblGrid>
      <w:t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unrecognized compensation cost and the remaining weighted-average period over which these costs are expected to be recognized for restricted stock units and unvested stock options as of September 30, 2026 is as follows:</w:t>
      </w:r>
    </w:p>
    <w:tbl>
      <w:tblPr>
        <w:tblW w:w="10205" w:type="dxa"/>
        <w:jc w:val="left"/>
        <w:tblInd w:w="0" w:type="dxa"/>
        <w:tblLayout w:type="fixed"/>
        <w:tblCellMar>
          <w:top w:w="28" w:type="dxa"/>
          <w:left w:w="28" w:type="dxa"/>
          <w:bottom w:w="28" w:type="dxa"/>
          <w:right w:w="28" w:type="dxa"/>
        </w:tblCellMar>
      </w:tblPr>
      <w:tblGrid>
        <w:gridCol w:w="1097"/>
        <w:gridCol w:w="887"/>
        <w:gridCol w:w="891"/>
        <w:gridCol w:w="109"/>
        <w:gridCol w:w="109"/>
        <w:gridCol w:w="1568"/>
        <w:gridCol w:w="109"/>
        <w:gridCol w:w="503"/>
        <w:gridCol w:w="1222"/>
        <w:gridCol w:w="262"/>
        <w:gridCol w:w="109"/>
        <w:gridCol w:w="109"/>
        <w:gridCol w:w="109"/>
        <w:gridCol w:w="401"/>
        <w:gridCol w:w="973"/>
        <w:gridCol w:w="207"/>
        <w:gridCol w:w="109"/>
        <w:gridCol w:w="109"/>
        <w:gridCol w:w="109"/>
        <w:gridCol w:w="211"/>
        <w:gridCol w:w="406"/>
        <w:gridCol w:w="109"/>
        <w:gridCol w:w="109"/>
        <w:gridCol w:w="109"/>
        <w:gridCol w:w="109"/>
        <w:gridCol w:w="160"/>
      </w:tblGrid>
      <w:tr>
        <w:tc>
          <w:tcPr>
            <w:tcW w:w="109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c>
          <w:tcPr>
            <w:tcW w:w="2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Remaining weighted-average period cost is expected to be recognized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units activity for the nine months ended September 30, 2026 is as follows:</w:t>
      </w:r>
    </w:p>
    <w:tbl>
      <w:tblPr>
        <w:tblW w:w="10205" w:type="dxa"/>
        <w:jc w:val="left"/>
        <w:tblInd w:w="0" w:type="dxa"/>
        <w:tblLayout w:type="fixed"/>
        <w:tblCellMar>
          <w:top w:w="28" w:type="dxa"/>
          <w:left w:w="28" w:type="dxa"/>
          <w:bottom w:w="28" w:type="dxa"/>
          <w:right w:w="28" w:type="dxa"/>
        </w:tblCellMar>
      </w:tblPr>
      <w:tblGrid>
        <w:gridCol w:w="780"/>
        <w:gridCol w:w="341"/>
        <w:gridCol w:w="343"/>
        <w:gridCol w:w="109"/>
        <w:gridCol w:w="109"/>
        <w:gridCol w:w="109"/>
        <w:gridCol w:w="246"/>
        <w:gridCol w:w="246"/>
        <w:gridCol w:w="247"/>
        <w:gridCol w:w="114"/>
        <w:gridCol w:w="114"/>
        <w:gridCol w:w="114"/>
        <w:gridCol w:w="364"/>
        <w:gridCol w:w="1002"/>
        <w:gridCol w:w="114"/>
        <w:gridCol w:w="109"/>
        <w:gridCol w:w="109"/>
        <w:gridCol w:w="109"/>
        <w:gridCol w:w="246"/>
        <w:gridCol w:w="246"/>
        <w:gridCol w:w="247"/>
        <w:gridCol w:w="116"/>
        <w:gridCol w:w="116"/>
        <w:gridCol w:w="116"/>
        <w:gridCol w:w="420"/>
        <w:gridCol w:w="961"/>
        <w:gridCol w:w="116"/>
        <w:gridCol w:w="109"/>
        <w:gridCol w:w="109"/>
        <w:gridCol w:w="109"/>
        <w:gridCol w:w="246"/>
        <w:gridCol w:w="246"/>
        <w:gridCol w:w="247"/>
        <w:gridCol w:w="115"/>
        <w:gridCol w:w="115"/>
        <w:gridCol w:w="115"/>
        <w:gridCol w:w="386"/>
        <w:gridCol w:w="937"/>
        <w:gridCol w:w="208"/>
      </w:tblGrid>
      <w:tr>
        <w:tc>
          <w:tcPr>
            <w:tcW w:w="7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r>
      <w:tr>
        <w:tc>
          <w:tcPr>
            <w:tcW w:w="1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performance criteria achievement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restricted stock units for the nine months ended September 30, 2026 and 2025 is as follows:</w:t>
      </w:r>
    </w:p>
    <w:tbl>
      <w:tblPr>
        <w:tblW w:w="6762" w:type="dxa"/>
        <w:jc w:val="left"/>
        <w:tblInd w:w="0" w:type="dxa"/>
        <w:tblLayout w:type="fixed"/>
        <w:tblCellMar>
          <w:top w:w="28" w:type="dxa"/>
          <w:left w:w="28" w:type="dxa"/>
          <w:bottom w:w="28" w:type="dxa"/>
          <w:right w:w="28" w:type="dxa"/>
        </w:tblCellMar>
      </w:tblPr>
      <w:tblGrid>
        <w:gridCol w:w="1337"/>
        <w:gridCol w:w="1175"/>
        <w:gridCol w:w="1177"/>
        <w:gridCol w:w="109"/>
        <w:gridCol w:w="275"/>
        <w:gridCol w:w="666"/>
        <w:gridCol w:w="142"/>
        <w:gridCol w:w="142"/>
        <w:gridCol w:w="142"/>
        <w:gridCol w:w="142"/>
        <w:gridCol w:w="275"/>
        <w:gridCol w:w="666"/>
        <w:gridCol w:w="142"/>
        <w:gridCol w:w="109"/>
        <w:gridCol w:w="109"/>
        <w:gridCol w:w="154"/>
      </w:tblGrid>
      <w:t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for the nine months ended September 30, 2026 is as follows:</w:t>
      </w:r>
    </w:p>
    <w:tbl>
      <w:tblPr>
        <w:tblW w:w="10205" w:type="dxa"/>
        <w:jc w:val="left"/>
        <w:tblInd w:w="0" w:type="dxa"/>
        <w:tblLayout w:type="fixed"/>
        <w:tblCellMar>
          <w:top w:w="28" w:type="dxa"/>
          <w:left w:w="28" w:type="dxa"/>
          <w:bottom w:w="28" w:type="dxa"/>
          <w:right w:w="28" w:type="dxa"/>
        </w:tblCellMar>
      </w:tblPr>
      <w:tblGrid>
        <w:gridCol w:w="816"/>
        <w:gridCol w:w="717"/>
        <w:gridCol w:w="723"/>
        <w:gridCol w:w="109"/>
        <w:gridCol w:w="109"/>
        <w:gridCol w:w="109"/>
        <w:gridCol w:w="315"/>
        <w:gridCol w:w="315"/>
        <w:gridCol w:w="316"/>
        <w:gridCol w:w="109"/>
        <w:gridCol w:w="109"/>
        <w:gridCol w:w="109"/>
        <w:gridCol w:w="416"/>
        <w:gridCol w:w="1218"/>
        <w:gridCol w:w="216"/>
        <w:gridCol w:w="109"/>
        <w:gridCol w:w="109"/>
        <w:gridCol w:w="109"/>
        <w:gridCol w:w="841"/>
        <w:gridCol w:w="841"/>
        <w:gridCol w:w="843"/>
        <w:gridCol w:w="109"/>
        <w:gridCol w:w="109"/>
        <w:gridCol w:w="109"/>
        <w:gridCol w:w="358"/>
        <w:gridCol w:w="690"/>
        <w:gridCol w:w="272"/>
      </w:tblGrid>
      <w:t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c>
          <w:tcPr>
            <w:tcW w:w="2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pPr>
      <w:r>
        <w:rPr>
          <w:rFonts w:ascii="Times New Roman;serif" w:hAnsi="Times New Roman;serif"/>
          <w:b/>
          <w:color w:val="000000"/>
          <w:sz w:val="20"/>
        </w:rPr>
        <w:t>11.</w:t>
      </w:r>
      <w:r>
        <w:rPr>
          <w:rFonts w:ascii="Times New Roman;serif" w:hAnsi="Times New Roman;serif"/>
          <w:b/>
          <w:color w:val="000000"/>
          <w:sz w:val="20"/>
        </w:rPr>
        <w:t>OTHER COMPREHENSIVE (LOSS) INCOME AND ACCUMULATED OTHER COMPREHENSIVE (LOSS)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our accumulated other comprehensive (loss) income, or AOCI, for the three and nine months ended September 30, 2026 and 2025: </w:t>
      </w:r>
    </w:p>
    <w:tbl>
      <w:tblPr>
        <w:tblW w:w="10205" w:type="dxa"/>
        <w:jc w:val="left"/>
        <w:tblInd w:w="0" w:type="dxa"/>
        <w:tblLayout w:type="fixed"/>
        <w:tblCellMar>
          <w:top w:w="28" w:type="dxa"/>
          <w:left w:w="28" w:type="dxa"/>
          <w:bottom w:w="28" w:type="dxa"/>
          <w:right w:w="28" w:type="dxa"/>
        </w:tblCellMar>
      </w:tblPr>
      <w:tblGrid>
        <w:gridCol w:w="1771"/>
        <w:gridCol w:w="1546"/>
        <w:gridCol w:w="1493"/>
        <w:gridCol w:w="263"/>
        <w:gridCol w:w="713"/>
        <w:gridCol w:w="136"/>
        <w:gridCol w:w="136"/>
        <w:gridCol w:w="136"/>
        <w:gridCol w:w="136"/>
        <w:gridCol w:w="263"/>
        <w:gridCol w:w="507"/>
        <w:gridCol w:w="136"/>
        <w:gridCol w:w="109"/>
        <w:gridCol w:w="109"/>
        <w:gridCol w:w="109"/>
        <w:gridCol w:w="250"/>
        <w:gridCol w:w="675"/>
        <w:gridCol w:w="129"/>
        <w:gridCol w:w="129"/>
        <w:gridCol w:w="129"/>
        <w:gridCol w:w="129"/>
        <w:gridCol w:w="250"/>
        <w:gridCol w:w="551"/>
        <w:gridCol w:w="129"/>
        <w:gridCol w:w="109"/>
        <w:gridCol w:w="162"/>
      </w:tblGrid>
      <w:tr>
        <w:tc>
          <w:tcPr>
            <w:tcW w:w="17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71" w:type="dxa"/>
            <w:gridSpan w:val="2"/>
            <w:tcBorders/>
          </w:tcPr>
          <w:p>
            <w:pPr>
              <w:pStyle w:val="TableContents"/>
              <w:bidi w:val="0"/>
              <w:spacing w:before="0" w:after="283"/>
              <w:jc w:val="left"/>
              <w:rPr>
                <w:sz w:val="4"/>
                <w:szCs w:val="4"/>
              </w:rPr>
            </w:pPr>
            <w:r>
              <w:rPr>
                <w:sz w:val="4"/>
                <w:szCs w:val="4"/>
              </w:rPr>
            </w:r>
          </w:p>
        </w:tc>
      </w:tr>
      <w:tr>
        <w:tc>
          <w:tcPr>
            <w:tcW w:w="481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 reclassified from AOCI to 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4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c>
          <w:tcPr>
            <w:tcW w:w="4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12.</w:t>
      </w:r>
      <w:r>
        <w:rPr>
          <w:rFonts w:ascii="Times New Roman;serif" w:hAnsi="Times New Roman;serif"/>
          <w:b/>
          <w:color w:val="000000"/>
          <w:sz w:val="20"/>
        </w:rPr>
        <w:t>EARNINGS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computation of basic and diluted earnings per share, or EPS, for both Class A and Class B common stock for the three and nine months ended September 30, 2026 and 2025:</w:t>
      </w:r>
    </w:p>
    <w:tbl>
      <w:tblPr>
        <w:tblW w:w="10205" w:type="dxa"/>
        <w:jc w:val="left"/>
        <w:tblInd w:w="0" w:type="dxa"/>
        <w:tblLayout w:type="fixed"/>
        <w:tblCellMar>
          <w:top w:w="28" w:type="dxa"/>
          <w:left w:w="28" w:type="dxa"/>
          <w:bottom w:w="28" w:type="dxa"/>
          <w:right w:w="28" w:type="dxa"/>
        </w:tblCellMar>
      </w:tblPr>
      <w:tblGrid>
        <w:gridCol w:w="1913"/>
        <w:gridCol w:w="1511"/>
        <w:gridCol w:w="1516"/>
        <w:gridCol w:w="255"/>
        <w:gridCol w:w="618"/>
        <w:gridCol w:w="131"/>
        <w:gridCol w:w="131"/>
        <w:gridCol w:w="131"/>
        <w:gridCol w:w="131"/>
        <w:gridCol w:w="255"/>
        <w:gridCol w:w="692"/>
        <w:gridCol w:w="131"/>
        <w:gridCol w:w="109"/>
        <w:gridCol w:w="109"/>
        <w:gridCol w:w="109"/>
        <w:gridCol w:w="254"/>
        <w:gridCol w:w="617"/>
        <w:gridCol w:w="131"/>
        <w:gridCol w:w="131"/>
        <w:gridCol w:w="131"/>
        <w:gridCol w:w="131"/>
        <w:gridCol w:w="254"/>
        <w:gridCol w:w="617"/>
        <w:gridCol w:w="197"/>
      </w:tblGrid>
      <w:tr>
        <w:tc>
          <w:tcPr>
            <w:tcW w:w="19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income allocated to participating securities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(both Class A and B)</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4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 (both Class A and B)</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(both Class A and B):</w:t>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we operated at a loss and therefore, the conversion of common stock equivalents would increase the denominator of the diluted EPS calculation and create a lower loss per share. Therefore, these common stock equivalents are considered anti-dilutive and diluted EPS is equal to basic EPS. Net losses are not allocated to participating securities, as the holders of such securities are not contractually obligated to share in the Company’s losses. For the three months ended September 30, 2025, net income (loss) attributable to common shareholders is equal to net income (loss).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1825"/>
        <w:gridCol w:w="1607"/>
        <w:gridCol w:w="1622"/>
        <w:gridCol w:w="297"/>
        <w:gridCol w:w="261"/>
        <w:gridCol w:w="261"/>
        <w:gridCol w:w="261"/>
        <w:gridCol w:w="261"/>
        <w:gridCol w:w="261"/>
        <w:gridCol w:w="297"/>
        <w:gridCol w:w="261"/>
        <w:gridCol w:w="261"/>
        <w:gridCol w:w="109"/>
        <w:gridCol w:w="109"/>
        <w:gridCol w:w="109"/>
        <w:gridCol w:w="280"/>
        <w:gridCol w:w="250"/>
        <w:gridCol w:w="246"/>
        <w:gridCol w:w="246"/>
        <w:gridCol w:w="246"/>
        <w:gridCol w:w="246"/>
        <w:gridCol w:w="280"/>
        <w:gridCol w:w="250"/>
        <w:gridCol w:w="359"/>
      </w:tblGrid>
      <w:tr>
        <w:tc>
          <w:tcPr>
            <w:tcW w:w="182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(as converted to common stock)</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pPr>
      <w:r>
        <w:rPr>
          <w:rFonts w:ascii="Times New Roman;serif" w:hAnsi="Times New Roman;serif"/>
          <w:b/>
          <w:color w:val="000000"/>
          <w:sz w:val="20"/>
        </w:rPr>
        <w:t>13.</w:t>
      </w:r>
      <w:r>
        <w:rPr>
          <w:rFonts w:ascii="Times New Roman;serif" w:hAnsi="Times New Roman;serif"/>
          <w:b/>
          <w:color w:val="000000"/>
          <w:sz w:val="20"/>
        </w:rPr>
        <w:t>GEOGRAPHICAL BREAKDOWN OF 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by state is as follows for the three and nine months ended September 30, 2026 and 2025:</w:t>
      </w:r>
    </w:p>
    <w:tbl>
      <w:tblPr>
        <w:tblW w:w="11162" w:type="dxa"/>
        <w:jc w:val="left"/>
        <w:tblInd w:w="0" w:type="dxa"/>
        <w:tblLayout w:type="fixed"/>
        <w:tblCellMar>
          <w:top w:w="28" w:type="dxa"/>
          <w:left w:w="28" w:type="dxa"/>
          <w:bottom w:w="28" w:type="dxa"/>
          <w:right w:w="28" w:type="dxa"/>
        </w:tblCellMar>
      </w:tblPr>
      <w:tblGrid>
        <w:gridCol w:w="437"/>
        <w:gridCol w:w="383"/>
        <w:gridCol w:w="396"/>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766"/>
        <w:gridCol w:w="109"/>
        <w:gridCol w:w="109"/>
        <w:gridCol w:w="109"/>
        <w:gridCol w:w="109"/>
        <w:gridCol w:w="307"/>
        <w:gridCol w:w="309"/>
        <w:gridCol w:w="276"/>
        <w:gridCol w:w="109"/>
        <w:gridCol w:w="109"/>
        <w:gridCol w:w="109"/>
        <w:gridCol w:w="211"/>
        <w:gridCol w:w="766"/>
        <w:gridCol w:w="109"/>
        <w:gridCol w:w="109"/>
        <w:gridCol w:w="109"/>
        <w:gridCol w:w="109"/>
        <w:gridCol w:w="307"/>
        <w:gridCol w:w="309"/>
        <w:gridCol w:w="321"/>
      </w:tblGrid>
      <w:t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ind w:left="0" w:right="0" w:firstLine="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2025 filed with the Securities and Exchange Commission on February 25, 2026, or the 2025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2025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is a technology insurance company founded on the idea that car insurance rates should be based primarily on driving behaviors, not demographics. We are revolutionizing the archaic car insurance industry by using modern technology, telematics, and data science to offer fair, personalized rates to good drivers.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competitive advantage is derived from our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and ongoing customer engagement. This unified platform enhances pricing accuracy, strengthens operating efficiency, and supports a more seamless customer experience, while creating a defensible, technology- and data-driven advantage that compounds over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scale the business, we aim to drive new customer growth and optimize unit economics via our two distribution channels: direct and partnership. The direct channel efficiently drives volume from high-intent customers by reaching them where they are already shopping for insurance, such as search engines or select marketplaces they actively use. The data science model continuously seeks to optimize bidding strategies that fine-tune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to drive efficiency across the organization within distribution, underwriting, policy administration, and claims. Although we believe we are priced adequately in a majority of the states in which we operate, our technology- and data-driven approach to pricing and underwriting allows for rapid response to macroeconomic trends and competitive dynamics through quick, timely, and appropriate rate actions. We continue to release iterations of our pricing models that incorporate enhanced telematics features, new rating variables, upgraded loss models, and improved risk segmentation. These enhancements strengthen our ability to select risks more precisely and maintain pricing accuracy as conditions evolve.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Claims operations remain a critical driver of our unit economics and long-term competitiveness. We continue to invest in automation, workflow optimization, and advanced analytical tools designed to improve accuracy, speed, and consistency in claims handling. Improvements to the claim process not only support customer satisfaction but also reinforce the stability of loss ratios and improve long-term cost efficiency by reducing 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continued investment in and diversification of our distribution channels, leveraging our proprietary technology and data science and focusing on partnerships with automotive, financial services, and independent agents, we believe this will position us for a sustainable, long-term and profitable path for growth.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the impact of large losses or tail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continuously evaluate our utilization of third-party reinsurance in order to operate a capital-efficient business model. As our gross loss ratios have stabilized, we strategically reduced the utilization of external quota share to balance the cost of reinsurance with capital efficiency. Over the long term, we expect to maintain the flexibility to modify our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 Affecting Comparability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Macroeconomic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Changing global economic conditions have led to inflationary pressures, supply chain disruptions, changes in interest rates and volatility in equity markets. In addition, economic uncertainty has risen as a result of geopolitical instability and changes in tariff policy. There remains uncertainty around the future of inflation.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Comprehensive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commute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In addition to our financial results prepared in accordance with accounting principles generally accepted in the United States, or GAAP, we believe these non-GAAP and operational measures are useful in evaluating our performance. See the section titled “—Non-GAAP Financial Measures” for additional information regarding our use of direct contribution and adjusted EBITDA and their reconciliations to the most directly comparable GAAP measures.</w:t>
      </w:r>
    </w:p>
    <w:tbl>
      <w:tblPr>
        <w:tblW w:w="8890" w:type="dxa"/>
        <w:jc w:val="left"/>
        <w:tblInd w:w="0" w:type="dxa"/>
        <w:tblLayout w:type="fixed"/>
        <w:tblCellMar>
          <w:top w:w="28" w:type="dxa"/>
          <w:left w:w="28" w:type="dxa"/>
          <w:bottom w:w="28" w:type="dxa"/>
          <w:right w:w="28" w:type="dxa"/>
        </w:tblCellMar>
      </w:tblPr>
      <w:tblGrid>
        <w:gridCol w:w="960"/>
        <w:gridCol w:w="845"/>
        <w:gridCol w:w="84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54"/>
      </w:tblGrid>
      <w:t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484,037 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484,037 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Policies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direct contribution, a non-GAAP financial measure, as gross profit excluding net investment income, net realized losses on investments, acquisition expenses which include report costs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and these consist of ceded premiums earned, ceded loss and LAE, and net ceding commission and other. Net ceding commission and other is comprised of ceding commission received in connection with reinsurance ceded, amortization of excess ceding commission, and other impacts of reinsurance ceded which are included in other insurance expense. After these adjustments, the resulting calculation is inclusive of only those gross variable costs of revenue incurred on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acquisition of business. We view direct contribution as an important metric because we believe it measures profitability of our total policy portfolio prior to the impact of reinsurance.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total revenue to direct contribution.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 non-GAAP financial measure, as net income (loss) excluding interest expense which includes interest incurred on our long-term debt, certain fees that are expensed and does not include the amortization of discount and debt issuance costs; income tax expense; depreciation and amortization, including the amortization of discount and debt issuance costs; share-based compensation; loss on extinguishment of debt; warrant compensation expense; restructuring charges; certain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net income (loss) to adjusted EBITDA.</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Loss and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we believe it is useful for investors to evaluate those separately from other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prior to the impact of reinsurance.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Accident Period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 Changes to our loss reserves are the primary driver of differences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net premiums earned, net investment income, net realized gains on investments, fee income and other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represents interest earned from our cash, cash equivalents, restricted cash and restricted cash equivalents, fixed maturities, and short-term investments less investment expenses. Investment expenses include costs associated with the management of our investment portfolio, including Personnel Costs. Net investment income also includes impairments related to low-income housing tax credits investments in limited liability entities to offset certain state premium taxes. These tax credits are recognized when utilized. In addition, net investment income includes impairment losses related to our private equity investments.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Realized Losses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 represents the difference between the amount received by us on the sale of an investment as compared to the investment’s amortized cost basis.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case-based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expenses. Sales and marketing are expensed as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 term we expect it will decrease as a percentage of revenue as the proportion of renewals to our total business increases.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commission expenses related to our partnership channel as acquisition costs. We view premium taxes, credit card and policy processing expenses and premium write-offs as variable expenses. We view insurance license expenses, certain warrant compensation expenses related to policies originating through the integrated automobile insurance solution for Carvana’s online buying platform, low-income housing tax credits which offset certain state premium taxes, Personnel Costs and Overhead related to actuarial and certain data science activities as fixed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amortize a portion of our deferred policy acquisition costs including certain commissions related to our partnership channel, premium taxes, and report costs related to the successful acquisition of a policy. Low income housing tax credits are recognized when utilized. Other insurance expense is recognized as incurred, except for costs related to deferred policy acquisition costs that are capitalized and subsequently amortized over the same period in which the related premiums are earned.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General and administrative expenses are expensed as incurred. We expect general and administrative expenses to decrease as a percentage of total revenue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non-operating expenses consist of interest expense, loss on extinguishment of debt, and income tax expense and are included below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primarily relates to interest incurred on our long-term debt, certain fees that are expensed as incurred and amortization of discount and debt issuance costs.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extinguishment of debt primarily relates to the difference between the reacquisition price of the debt and the net carrying amount of the extinguished debt. Upon extinguishment of debt, the remaining unamortized debt discount and issuance costs, and prepayment premium are recognized as expense.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state income taxes in the United States. We have recorded United States federal and state net deferred tax assets for which we provide a full valuation allowance, which includes net operating loss carryforwards and tax credits.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our anticipated future earnings, we believe there is a reasonable possibility that in the foreseeable future, sufficient positive evidence may become available to reach a conclusion that all or a portion of the valuation allowance may no longer be needed. Release of the valuation allowance would result in recognition of certain deferred tax assets and a corresponding material income tax benefit for the period the release is recorded. The exact timing and amount of the valuation allowance release would depend on our financial performance, projected taxable income in the relevant jurisdictions, and ongoing evaluation of available positive and negative evidence.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553" w:type="dxa"/>
        <w:jc w:val="left"/>
        <w:tblInd w:w="0" w:type="dxa"/>
        <w:tblLayout w:type="fixed"/>
        <w:tblCellMar>
          <w:top w:w="28" w:type="dxa"/>
          <w:left w:w="28" w:type="dxa"/>
          <w:bottom w:w="28" w:type="dxa"/>
          <w:right w:w="28" w:type="dxa"/>
        </w:tblCellMar>
      </w:tblPr>
      <w:tblGrid>
        <w:gridCol w:w="1678"/>
        <w:gridCol w:w="1474"/>
        <w:gridCol w:w="1482"/>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357"/>
        <w:gridCol w:w="364"/>
        <w:gridCol w:w="544"/>
      </w:tblGrid>
      <w:t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premiums earned decreased primarily due to a decrease in premiums per policy resulting from a shift in customer and state mix, partially offset by reduced cessions of gross premiums earned to reinsurers between periods and an increase in policies in force as a result of continued growth in our partnership channel.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and 2025, we ceded approximately 0.9% and 3.5% of our gross premiums earned, respectively. The change in cessions between periods was primarily driven by a strategic reduction of quota share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three months ended September 30, 2026 and 2025:</w:t>
      </w:r>
    </w:p>
    <w:tbl>
      <w:tblPr>
        <w:tblW w:w="7190"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1"/>
        <w:gridCol w:w="294"/>
        <w:gridCol w:w="483"/>
        <w:gridCol w:w="109"/>
        <w:gridCol w:w="154"/>
      </w:tblGrid>
      <w:t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decreased for the three months ended September 30, 2026, primarily due to a decrease in premiums per policy in the direct and partnership channels and a decline in new writings in our direct channel as a result of lower direct performance marketing spend amid heightened competition in the marketing environment. This was partially offset by continued growth in new writings in our partnership channel compared to the same period in 2025. The decrease in gross premiums earned was primarily due to a decrease in premiums per policy, partially offset by greater policies in force compared to the same period in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decreased due to fewer losses incurred on decreased gross premiums earned volume and favorable loss and LAE reserve development in prior accident years, stemming from lower-than-anticipated claim emergence for the three months ended September 30, 2026 compared to the same period in 2025. This decrease was partially offset by reduced cessions of losses to reinsurers driven by a strategic reduction of quota share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61.1% for the three months ended September 30, 2026, from 56.5% for the same period in 2025. The change in the ratio was driven by higher loss costs as a result of increased severity per claim due to higher vehicle repair and medical costs and a shift in channel mix and higher claim frequency. This was partially offset by shifts in business tenure mix. We observed a low-single digit increase in accident period severity per claim and a low-single-digit increase in claim frequency for the three months ended September 30, 2026 compared to the same period in 2025 across our bodily injury, collision, and property damage coverages.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decreased due to lower acquisition expense driven by a $4.9 million decrease in direct performance marketing spend and a $2.1 million decrease in experimental marketing spend. This reduction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reflects a continued disciplined deployment of spend to optimize efficiency in a heightened competitive marketing environment, while maintaining returns in line with our estimated targets.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decreased primarily due to a decrease in our fixed expenses. This was primarily driven by a $15.3 million decrease in Carvana warrant expense as a result of a cumulative expense catch-up recognized in the third quarter of 2025 when the short-term warrants expired and the long-term warrants became probable of vesting under the old warrant structure. This was partially offset by an increase in acquisition expense primarily driven by a $3.6 million increase in commissions expense and a $1.1 million increase in partnership expenses related to the continued growth in our partnership channel, including the build-out and appointment of independent agents. We also experienced a $2.9 million decrease in net ceding commission contra-expense as a result of a decline in ceded premiums written, largely attributable to a strategic reduction of quota share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due to a $5.9 million reduction in Personnel Costs. This decline was primarily comprised of a decrease in performance-based restricted stock unit compensation expense resulting from changes in the probability of achieving growth-related performance targets and a decrease in short-term incentive plan compensation expense due to change in expected performance achievement between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Comprehensive (Loss)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Net Unrealized (Losses)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 reflected an unrealized loss for the three months ended September 30, 2026, compared to an unrealized gain in the same period in 2025. This shift is primarily due to an increase in market interest rates during the period, influenced by broader macroeconomic and geopolitical uncertainties, which negatively impacted the fair value of fixed maturity securities.</w:t>
      </w:r>
    </w:p>
    <w:p>
      <w:pPr>
        <w:pStyle w:val="TextBody"/>
        <w:bidi w:val="0"/>
        <w:spacing w:before="0" w:after="180"/>
        <w:ind w:left="0" w:right="0" w:firstLine="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852" w:type="dxa"/>
        <w:jc w:val="left"/>
        <w:tblInd w:w="0" w:type="dxa"/>
        <w:tblLayout w:type="fixed"/>
        <w:tblCellMar>
          <w:top w:w="28" w:type="dxa"/>
          <w:left w:w="28" w:type="dxa"/>
          <w:bottom w:w="28" w:type="dxa"/>
          <w:right w:w="28" w:type="dxa"/>
        </w:tblCellMar>
      </w:tblPr>
      <w:tblGrid>
        <w:gridCol w:w="1678"/>
        <w:gridCol w:w="1474"/>
        <w:gridCol w:w="1482"/>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344"/>
        <w:gridCol w:w="346"/>
        <w:gridCol w:w="544"/>
      </w:tblGrid>
      <w:t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reduced cessions of gross premiums earned to reinsurers between periods and an increase in policies in force as a result of continued growth in our partnership channel, partially offset by a decrease in premiums per policy resulting from a shift in customer and state mix.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and 2025, we ceded approximately 1.3% and 5.0%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nine months ended September 30, 2026 and 2025:</w:t>
      </w:r>
    </w:p>
    <w:tbl>
      <w:tblPr>
        <w:tblW w:w="7490" w:type="dxa"/>
        <w:jc w:val="left"/>
        <w:tblInd w:w="0" w:type="dxa"/>
        <w:tblLayout w:type="fixed"/>
        <w:tblCellMar>
          <w:top w:w="28" w:type="dxa"/>
          <w:left w:w="28" w:type="dxa"/>
          <w:bottom w:w="28" w:type="dxa"/>
          <w:right w:w="28" w:type="dxa"/>
        </w:tblCellMar>
      </w:tblPr>
      <w:tblGrid>
        <w:gridCol w:w="761"/>
        <w:gridCol w:w="667"/>
        <w:gridCol w:w="672"/>
        <w:gridCol w:w="211"/>
        <w:gridCol w:w="766"/>
        <w:gridCol w:w="109"/>
        <w:gridCol w:w="109"/>
        <w:gridCol w:w="109"/>
        <w:gridCol w:w="109"/>
        <w:gridCol w:w="211"/>
        <w:gridCol w:w="766"/>
        <w:gridCol w:w="109"/>
        <w:gridCol w:w="109"/>
        <w:gridCol w:w="109"/>
        <w:gridCol w:w="109"/>
        <w:gridCol w:w="211"/>
        <w:gridCol w:w="586"/>
        <w:gridCol w:w="109"/>
        <w:gridCol w:w="109"/>
        <w:gridCol w:w="109"/>
        <w:gridCol w:w="109"/>
        <w:gridCol w:w="291"/>
        <w:gridCol w:w="294"/>
        <w:gridCol w:w="483"/>
        <w:gridCol w:w="109"/>
        <w:gridCol w:w="154"/>
      </w:tblGrid>
      <w:t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decreased for the nine months ended September 30, 2026, primarily due to a decrease in premiums per policy in the direct and partnership channels and a decline in new writings in our direct channel. Lower direct channel new writings reflected lower direct performance marketing spend amid heightened competition in the marketing environment and slower growth during the tax refund season in 2026, compared to 2025, which benefited from a pull-forward of demand driven by concerns around tariff policy. This was partially offset by continued growth in new writings in our partnership channel compared to the same period in 2025. The increase in gross premiums earned was primarily due to greater policies in force, partially offset by a decrease in premiums per policy compared to the same period in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decreased primarily due to a $4.4 million impairment loss recognized on an equity investment. The impairment loss included the reversal of $3.8 million of previously recognized unrealized gains, and the initial cash investment of $0.6 million. This was partially offset by a $1.3 million increase in investment income reflecting a shift in investment mix.</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for the nine months ended September 30, 2026 compared to the same period in 2025. This volume-driven increase was partially offset by a reduction of loss and LAE reserves on prior periods due to lower than expected reported activity and the identification of additional subrogation opportunities resulting from model improvements.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59.7% for the nine months ended September 30, 2026, from 56.2% for the same period in 2025. The change in the ratio was driven by a shift in channel mix and higher loss costs as a result of increased severity per claim due to higher vehicle repair and medical costs. This was partially offset by shifts in business tenure mix and favorable weather-related losses. We observed a mid-single digit increase in accident period severity per claim, while claim frequency remained relatively consistent for the nine months ended September 30, 2026 compared to the same period in 2025 across our bodily injury, collision, and property damage coverages.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decreased due to lower acquisition expense driven by a $40.3 million decrease in direct performance marketing spend. This reduction reflects a continued disciplined deployment of spend to optimize efficiency in a heightened competitive marketing environment, while maintaining returns in line with our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estimated targets. The decrease was also influenced by slower new writing growth during the tax refund season in 2026, compared to 2025, which benefited from a pull-forward of demand driven by concerns around tariff policy.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increased primarily due to an increase in our acquisition expenses. This was driven by a $21.7 million increase in commission expense and a $4.3 million increase in partnership expenses related to the continued growth in our partnership channel, including the build-out and appointment of independent agents. We also experienced an $11.7 million decrease in net ceding commission contra-expense as a result of a decline in ceded premiums written, largely attributable to a strategic reduction of quota share reinsurance. The increase in acquisition expenses was partially offset by a decrease in fixed expenses, primarily due to an $11.8 million decrease in Carvana warrant expense as a result of a cumulative expense catch-up recognized in the third quarter of 2025 when the short-term warrants expired and the long-term warrants became probable of vesting under the old warrant structure.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 increased primarily due to a $5.6 million increase in Personnel Costs, driven by increased headcount which reflects a continued investment in our product delivery teams and technology.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decreased primarily due to a $10.5 million reduction in Personnel Costs. This decline was primarily comprised of a decrease in short-term incentive plan compensation expense due to change in expected performance achievement between periods and a decrease in performance-based restricted stock unit compensation expense resulting from changes in the probability of achieving growth-related performance targets.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on Extinguishment of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Loss on extinguishment of debt was due to unamortized debt discount and issuance costs, and prepayment premium being expensed as a result of the repayment of our Amended Term Loan in full in the second quarter of 2026.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Comprehensive (Loss)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Net Unrealized (Losses)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 reflected an unrealized loss for the nine months ended September 30, 2026, compared to an unrealized gain in the same period in 2025. This shift is primarily due to an increase in market interest rates during the period, influenced by broader macroeconomic and geopolitical uncertainties, which negatively impacted the fair value of fixed maturity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revenue to direct contribution for the three and nine months ended September 30, 2026 and 2025:</w:t>
      </w:r>
    </w:p>
    <w:tbl>
      <w:tblPr>
        <w:tblW w:w="9368" w:type="dxa"/>
        <w:jc w:val="left"/>
        <w:tblInd w:w="0" w:type="dxa"/>
        <w:tblLayout w:type="fixed"/>
        <w:tblCellMar>
          <w:top w:w="28" w:type="dxa"/>
          <w:left w:w="28" w:type="dxa"/>
          <w:bottom w:w="28" w:type="dxa"/>
          <w:right w:w="28" w:type="dxa"/>
        </w:tblCellMar>
      </w:tblPr>
      <w:tblGrid>
        <w:gridCol w:w="1347"/>
        <w:gridCol w:w="1184"/>
        <w:gridCol w:w="1188"/>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on investments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pPr>
      <w:r>
        <w:rPr>
          <w:rFonts w:ascii="Times New Roman;serif" w:hAnsi="Times New Roman;serif"/>
          <w:b w:val="false"/>
          <w:color w:val="000000"/>
          <w:sz w:val="16"/>
        </w:rPr>
        <w:t>(1) Adjustments from other insurance expense consists of acquisition expenses, including report costs and commission expenses related to our partnership channel of $32.3 million and $97.0 million for the three and nine months ended September 30, 2026, respectively, and $28.5 million and $73.2 million for the three and nine months ended September 30, 2025, respectively. Adjustments from other insurance expense also consists of fixed expenses, including warrant compensation expense related to policies originating through the Integrated Platform, Personnel Costs, Overhead, licenses, professional fees and other of $6.0 million and $16.9 million for the three and nine months ended September 30, 2026, respectively, and $21.6 million and $28.7 million for the three and nine months ended September 30, 2025, respectively</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pPr>
      <w:r>
        <w:rPr>
          <w:rFonts w:ascii="Times New Roman;serif" w:hAnsi="Times New Roman;serif"/>
          <w:b w:val="false"/>
          <w:color w:val="000000"/>
          <w:sz w:val="16"/>
        </w:rPr>
        <w:t>(2) Net ceding commission and other is comprised of ceding commission received in connection with reinsurance ceded, amortization of excess ceding commission, and other impacts of reinsurance ceded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adjusted EBITDA and why management believes this measure provides useful information to investors, see “—Key Performance Indicators.”</w:t>
      </w:r>
    </w:p>
    <w:p>
      <w:pPr>
        <w:pStyle w:val="TextBody"/>
        <w:bidi w:val="0"/>
        <w:spacing w:lineRule="auto" w:line="288" w:before="0" w:after="180"/>
        <w:ind w:left="0" w:right="0" w:firstLine="360"/>
        <w:jc w:val="left"/>
      </w:pPr>
      <w:r>
        <w:rPr>
          <w:rFonts w:ascii="Times New Roman;serif" w:hAnsi="Times New Roman;serif"/>
          <w:b w:val="false"/>
          <w:color w:val="000000"/>
          <w:sz w:val="20"/>
        </w:rPr>
        <w:t>The following table provides a reconciliation of net income (loss) to adjusted EBITDA for the three and nine months ended September 30, 2026 and 2025:</w:t>
      </w:r>
      <w:r>
        <w:rPr>
          <w:color w:val="000000"/>
        </w:rPr>
        <w:t xml:space="preserve"> </w:t>
      </w:r>
    </w:p>
    <w:tbl>
      <w:tblPr>
        <w:tblW w:w="8331" w:type="dxa"/>
        <w:jc w:val="left"/>
        <w:tblInd w:w="0" w:type="dxa"/>
        <w:tblLayout w:type="fixed"/>
        <w:tblCellMar>
          <w:top w:w="28" w:type="dxa"/>
          <w:left w:w="28" w:type="dxa"/>
          <w:bottom w:w="28" w:type="dxa"/>
          <w:right w:w="28" w:type="dxa"/>
        </w:tblCellMar>
      </w:tblPr>
      <w:tblGrid>
        <w:gridCol w:w="971"/>
        <w:gridCol w:w="853"/>
        <w:gridCol w:w="860"/>
        <w:gridCol w:w="284"/>
        <w:gridCol w:w="690"/>
        <w:gridCol w:w="147"/>
        <w:gridCol w:w="147"/>
        <w:gridCol w:w="147"/>
        <w:gridCol w:w="147"/>
        <w:gridCol w:w="284"/>
        <w:gridCol w:w="690"/>
        <w:gridCol w:w="147"/>
        <w:gridCol w:w="109"/>
        <w:gridCol w:w="109"/>
        <w:gridCol w:w="109"/>
        <w:gridCol w:w="248"/>
        <w:gridCol w:w="724"/>
        <w:gridCol w:w="128"/>
        <w:gridCol w:w="128"/>
        <w:gridCol w:w="128"/>
        <w:gridCol w:w="128"/>
        <w:gridCol w:w="248"/>
        <w:gridCol w:w="724"/>
        <w:gridCol w:w="181"/>
      </w:tblGrid>
      <w:t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Restructuring costs consist of real estate exit costs which include depreciation and amortization of zero for the three and nine months ended September 30, 2026 and zero and $0.1 million for the three and nine months ended September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also receive cash dividends from our insurance subsidiaries, whose ability to declare and issue dividends is subject to regulatory restrictions and approval. We are continuously evaluating alternatives for efficiently funding our ongoing operations and reducing our cost of capital. We expect, from time to time, to engage in a variety of financing transactions for such purposes, including the issuance and repurchase of stock, and the issuance, refinancing, repayment, prepayment, redemption, retirement, or other modification or management of our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events may impact our liquidity, such as global economic conditions, geopolitical instability, and changes in tariff policy resulting in inflationary pressures, supply chain disruptions, changes in interest rates,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can also influence the returns, liquidity, valuation, and types of our investments. Additionally, fluctuations in interest rates could impact our cost of capital and may limit our ability to raise additional capital. We utilize reinsurance arrangements to mitigate the impact of large losses or catastrophic events.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Regulatory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organized as a holding company, but our primary operations are conducted by four of our wholly-owned insurance subsidiaries, Root Insurance Company, Root Property &amp; Casualty Insurance Company, and Root Select Insurance Company, all three of which are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limited on the amount of dividends that can be paid without approval of the applicable superintendent, commissioner and/or director. During the nine months ended September 30, 2026, the Ohio Department of Insurance approved two extraordinary dividends for Root Insurance Company and one extraordinary dividend for Root Property &amp; Casualty Insurance Company. As a result, over that period, Root Insurance Company and Root Property &amp; Casualty Insurance Company each paid $15.0 million to Caret Holdings, Inc., its parent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2026, our insurance subsidiaries maintained a risk-based capital level that is in excess of an amount that would require any corrective actions on our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Cayman Islands-based reinsurance subsidiary, Root Reinsurance Company, Ltd., or Root Re, maintains a Class B(iii) insurer license under the Cayman Islands Monetary Authority, or CIMA. At September 30, 2026, Root Re was subject to compliance with certain capital levels and a net premiums earned to capital ratio up to 15:1, which we maintained as of September 30, 2026. The capital ratio can fluctuate at Root Re’s election, subject to regulatory approval. Root Re’s primary sources of funds are assumed insurance premiums, net investment income and capital contributions from the holding company. These funds are primarily used to pay claims and operating expenses and to purchase investments. Root Re must notify CIMA before it can pay any dividend to the holding company. During the nine months ended September 30, 2026, Root Re paid dividends of $49.0 million to Caret Holdings, Inc.</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prepaid our six-year Amended Term Loan in the aggregate principal amount of $200.0 million in full. The prepayment resulted in a loss on extinguishment of debt of $4.9 million, primarily related to accelerated amortization of debt discount and issuance costs and a prepayment premium. We entered into a senior secured term loan with a principal balance of $200.0 million and a maturity date of May 4, 2029. We are required to make quarterly principal payments, which commenced on September 30, 2026, equal to approximately 0.25% of the original principal amount in each of the first two years following the closing date and 1.25% quarterly in the third year, with the unpaid balance due at maturity. Interest is variable and calculated between SOFR plus 3.0% and SOFR plus 3.75% and is payable quarterly in cash. The SOFR margin is based upon the debt-to-capital ratio which is calculated on the last day of each quarter as discussed further in Note 7, “Long-Term Debt,” in the Notes to the Condensed Consolidated Financial Statements - Unaudited.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announced that our board of directors approved a share repurchase authorization of up to $75.0 million of Class A common stock, excluding transaction costs, or Repurchase Program. We may utilize various methods to effect repurchases, which could include open market purchases, privately negotiated transactions, block purchases, accelerated share repurchase agreements or a combination of methods, including pursuant to trading plans adopted under Rule 10b5-1 under the Exchange Act. The Repurchase Program does not have a set expiration date and may be modified, suspended, or discontinued at any time at the discretion of our board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directors. The timing and amount of any repurchases under the Repurchase Program will depend upon several factors, including market and business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repurchased and immediately retired 0.7 million shares of our Class A common stock for an aggregate amount, including transaction costs, of $36.4 million under the Repurchase Program. As of September 30, 2026, $38.8 million remained available and authorized for repurchases.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Asset Acquisition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2026, we entered into a definitive purchase and sale agreement to acquire certain real property along with all other improvements, fixtures and leases for a purchase price of approximately $18.3 million. The real property acquired will be used for general corporate purposes. We expect this acquisition to be completed during the fourth quarter of 2026, subject to customary closing conditions.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$596.3 million in cash and cash equivalents, of which $261.6 million was held outside of regulated insurance entities. We also had restricted cash and cash equivalents of $75.3 million and $433.7 million in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primarily consist of bank deposits and money market funds. Our marketable securities primarily consist of United States Treasury and agency securities, municipal securities, corporate debt securities, and asset-backed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 This belief is based on management’s current assumptions and is subject to changes in market or regulatory conditions affecting the insurance industry, and other general economic, financial, competitive, and other factors that are beyond our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covenants require us to maintain cash and cash equivalents held with the lender to be at least 25% of the outstanding principal balance of the senior secured term loan. As of September 30, 2026, we maintained $49.9 million of restricted cash and cash equivalents with the lender.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periods presented:</w:t>
      </w:r>
    </w:p>
    <w:tbl>
      <w:tblPr>
        <w:tblW w:w="6102" w:type="dxa"/>
        <w:jc w:val="left"/>
        <w:tblInd w:w="0" w:type="dxa"/>
        <w:tblLayout w:type="fixed"/>
        <w:tblCellMar>
          <w:top w:w="28" w:type="dxa"/>
          <w:left w:w="28" w:type="dxa"/>
          <w:bottom w:w="28" w:type="dxa"/>
          <w:right w:w="28" w:type="dxa"/>
        </w:tblCellMar>
      </w:tblPr>
      <w:tblGrid>
        <w:gridCol w:w="1254"/>
        <w:gridCol w:w="1104"/>
        <w:gridCol w:w="1107"/>
        <w:gridCol w:w="248"/>
        <w:gridCol w:w="724"/>
        <w:gridCol w:w="128"/>
        <w:gridCol w:w="128"/>
        <w:gridCol w:w="128"/>
        <w:gridCol w:w="128"/>
        <w:gridCol w:w="248"/>
        <w:gridCol w:w="724"/>
        <w:gridCol w:w="181"/>
      </w:tblGrid>
      <w:t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2026 was $114.1 million compared to $136.4 million for the nine months ended September 30, 2025. The decrease in cash provided by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operating activities was due to changes in premiums not yet earned, loss and LAE reserves and premiums owed to the fronting carrier due to greater growth in policies in force in the nine months ended September 30, 2025, compared to the same period in 2026. This was partially offset by the timing of premium and reinsurance receipts and higher net income between the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nine months ended September 30, 2026 was $80.0 million compared to $59.2 million for the nine months ended September 30, 2025. The increase in cash used in investing activities was primarily due to purchases of investment grade marketable securities associated with liquidity management and capital requirements for our insurance operations. This was partially offset by sales of investments primarily due to repositioning our fixed income portfolio. The repositioning is intended to enhance portfolio yield and future net investment income by reinvesting sale proceeds into higher-yielding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2026 was $52.4 million compared to $23.1 million for the nine months ended September 30, 2025. The increase in cash used in financing activities was primarily due to the prepayment of our Amended Term Loan, largely offset by the net proceeds from issuance of the senior secured term loan to reduce our cost of capital. We also experienced an increase in cash used due to deploying excess capital toward Class A common stock repurchases and retirement.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Material Cash Requirements from Contractual and Other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and other obligations from those described in our 2025 10-K, except for the prepayment of the Amended Term Loan and incurrence of debt under the senior secured term loan as discussed further in Note 7, “Long-Term Debt,” in the Notes to Condensed Consolidated Financial Statements - Unaudited.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under the heading “Management’s Discussion and Analysis of Financial Condition and Results of Operations—Critical Accounting Estimates,” in our 2025 10-K and under the heading “Notes to Condensed Consolidated Financial Statements - Unaudited” appearing in this Quarterly Report on Form 10-Q. During the nine months ended September 30, 2026, there were no material changes to our critical accounting estimates from those discussed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except as noted below, in the quantitative and qualitative market risk disclosures included in the 2025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exposed to interest rate risk through our senior secured term loan, which bears interest at floating rates based on changes in the SOFR. Rising interest rates could increase our cost of debt, reduce cash available for operations, and have a material adverse effect on our business and financial condition. As of September 30, 2026, a 100-basis-point increase or decrease in SOFR would not have a significant impact on our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September 30, 2026.</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2026 that have materially affected, or are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flows. </w:t>
      </w:r>
    </w:p>
    <w:p>
      <w:pPr>
        <w:pStyle w:val="TextBody"/>
        <w:bidi w:val="0"/>
        <w:spacing w:before="0" w:after="18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discussed below, there have been no material changes in our risk factors from those disclosed in the 2025 10-K. In addition to the other information set forth in this Quarterly Report on Form 10-Q, you should carefully consider the risk factors discussed in Part I, Item 1A. “Risk Factors,” in the 2025 10-K.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maintain an effective partnership channel offering, including our embedded insurance product and our independent agent platform, and/or fail to perform under the associated commercial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entered into a commercial agreement with Carvana on October 1, 2021, in which the parties agreed to develop an integrated automobile insurance solution for Carvana’s online car buying platform, and we pay commissions to Carvana for insurance policies purchased by Carvana customers. The commercial agreement includes certain exclusivity rights and obligations of the parties. The commercial agreement, as amended, is set to expire on August 31, 2028. In addition, we are a party to and are pursuing commercial arrangements with other potential partners with varying levels of integration, including utilization of an embedded insurance offering. If we or our commercial counterparties, including Carvana, are unable to satisfy obligations under commercial arrangements, if we are unable to maintain effective partnership arrangements, including an embedded insurance product and our independent agent platform, if we are unable to renew or extend the term of any of our commercial agreements on terms attractive to us or at all, if we are unable to contract with additional partners to utilize these products, or if our partners experience difficulty with their businesses or if they or we are unable to attract insurance customers, that could have a material and adverse effect on our business, results of operations, financial condition and prospects.</w:t>
      </w:r>
    </w:p>
    <w:p>
      <w:pPr>
        <w:pStyle w:val="TextBody"/>
        <w:bidi w:val="0"/>
        <w:spacing w:before="0" w:after="18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 repurchases of our Class A common stock for the three months ended September 30, 2026 were as follows:</w:t>
      </w:r>
    </w:p>
    <w:tbl>
      <w:tblPr>
        <w:tblW w:w="10205" w:type="dxa"/>
        <w:jc w:val="left"/>
        <w:tblInd w:w="0" w:type="dxa"/>
        <w:tblLayout w:type="fixed"/>
        <w:tblCellMar>
          <w:top w:w="28" w:type="dxa"/>
          <w:left w:w="28" w:type="dxa"/>
          <w:bottom w:w="28" w:type="dxa"/>
          <w:right w:w="28" w:type="dxa"/>
        </w:tblCellMar>
      </w:tblPr>
      <w:tblGrid>
        <w:gridCol w:w="821"/>
        <w:gridCol w:w="398"/>
        <w:gridCol w:w="403"/>
        <w:gridCol w:w="109"/>
        <w:gridCol w:w="109"/>
        <w:gridCol w:w="109"/>
        <w:gridCol w:w="619"/>
        <w:gridCol w:w="423"/>
        <w:gridCol w:w="425"/>
        <w:gridCol w:w="109"/>
        <w:gridCol w:w="109"/>
        <w:gridCol w:w="109"/>
        <w:gridCol w:w="288"/>
        <w:gridCol w:w="841"/>
        <w:gridCol w:w="148"/>
        <w:gridCol w:w="109"/>
        <w:gridCol w:w="109"/>
        <w:gridCol w:w="109"/>
        <w:gridCol w:w="834"/>
        <w:gridCol w:w="668"/>
        <w:gridCol w:w="670"/>
        <w:gridCol w:w="109"/>
        <w:gridCol w:w="109"/>
        <w:gridCol w:w="109"/>
        <w:gridCol w:w="565"/>
        <w:gridCol w:w="1372"/>
        <w:gridCol w:w="422"/>
      </w:tblGrid>
      <w:tr>
        <w:tc>
          <w:tcPr>
            <w:tcW w:w="8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c>
          <w:tcPr>
            <w:tcW w:w="1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Average Price Paid Per 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pPr>
            <w:r>
              <w:rPr>
                <w:rFonts w:ascii="Times New Roman;serif" w:hAnsi="Times New Roman;serif"/>
                <w:b/>
                <w:color w:val="000000"/>
                <w:sz w:val="16"/>
              </w:rPr>
              <w:t>Approximate Dollar Value of Shares that May Yet Be Purchased Under the Program</w:t>
            </w:r>
            <w:r>
              <w:rPr>
                <w:rFonts w:ascii="Times New Roman;serif" w:hAnsi="Times New Roman;serif"/>
                <w:b/>
                <w:color w:val="000000"/>
                <w:sz w:val="10"/>
              </w:rPr>
              <w:t>(2)</w:t>
            </w:r>
          </w:p>
        </w:tc>
      </w:tr>
      <w:t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40,191 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210,281 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210,281 </w:t>
            </w:r>
          </w:p>
        </w:tc>
        <w:tc>
          <w:tcPr>
            <w:tcW w:w="6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42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42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1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290,694 </w:t>
            </w:r>
          </w:p>
        </w:tc>
        <w:tc>
          <w:tcPr>
            <w:tcW w:w="4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290,694 </w:t>
            </w:r>
          </w:p>
        </w:tc>
        <w:tc>
          <w:tcPr>
            <w:tcW w:w="6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4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Average price paid per share includes costs associated with the repurchases, but excludes the 1% excise tax accrued on our share repurchases as a result of the Inflation Reduction Act of 2022.</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On May 6, 2026, we announced that our board of directors approved the Repurchase Program, pursuant to which we are authorized to repurchase up to $75.0 million of our Class A common stock, excluding transaction costs. As of September 30, 2026, $38.8 million of the originally authorized amount under the Repurchase Program remained available for future repurchases. The Repurchase Program does not have a set expiration date and may be modified, suspended, or discontinued at any time at the discretion of our board of directors.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stock.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Repurchase and Working Capital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See the section titled “Risk Factors—Risks Related to Our Business—Failure to maintain our risk-based capital at the required levels could adversely affect our ability to maintain regulatory authority to conduct our business,” included in the 2025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supervisory Department of Insurance or Office of Insurance Regulation may, in the future, adopt statutory provisions more restrictive than those currently in effect.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senior secured loan includes covenants that require us to maintain certain levels of liquidity and restrict us from declaring or making cash dividends or other distributions and from repurchasing our common stock outside of the ordinary course of business or in excess of certain specified limits during the term of the senior secured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14, 2026, Jonathan Allison, the Company’s Chief Administrative Officer, entered into a trading plan intended to satisfy the affirmative defense conditions of Rule 10b5-1(c) under the Exchange Act (a “10b5-1 Plan”). Mr. Allison’s 10b5-1 Plan provides for the potential sale of up to 51,610 shares of Class A common stock and terminates no later than November 10,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18, 2026, Megan Binkley, the Company’s Chief Financial Officer, modified a 10b5-1 Plan. Ms. Binkley’s 10b5-1 Plan provides for the potential sale of up to 22,500 shares of Class A common stock and terminates no later than November 30,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19, 2026, Julie Szudarek, a member of the Company’s Board of Directors, entered into a 10b5-1 Plan. Ms. Szudarek’s 10b5-1 Plan provides for the potential sale of up to 5,500 shares of Class A common stock and terminates no later than November 17, 2027.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21, 2026, Alexander Timm, the Company’s Chairman of the Board and Chief Executive Officer, modified a 10b5-1 Plan. Mr. Timm’s 10b5-1 Plan provides for the potential sale of up to 107,000 shares of Class A common stock and terminates no later than November 24, 2027.</w:t>
      </w:r>
    </w:p>
    <w:p>
      <w:pPr>
        <w:pStyle w:val="TextBody"/>
        <w:bidi w:val="0"/>
        <w:spacing w:before="0" w:after="180"/>
        <w:ind w:left="0" w:right="0" w:firstLine="360"/>
        <w:jc w:val="left"/>
      </w:pPr>
      <w:r/>
    </w:p>
    <w:p>
      <w:pPr>
        <w:pStyle w:val="TextBody"/>
        <w:bidi w:val="0"/>
        <w:spacing w:before="0" w:after="180"/>
        <w:ind w:left="0" w:right="0" w:firstLine="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773"/>
        <w:gridCol w:w="1544"/>
        <w:gridCol w:w="1550"/>
        <w:gridCol w:w="177"/>
        <w:gridCol w:w="177"/>
        <w:gridCol w:w="164"/>
        <w:gridCol w:w="291"/>
        <w:gridCol w:w="291"/>
        <w:gridCol w:w="292"/>
        <w:gridCol w:w="210"/>
        <w:gridCol w:w="210"/>
        <w:gridCol w:w="211"/>
        <w:gridCol w:w="476"/>
        <w:gridCol w:w="281"/>
        <w:gridCol w:w="257"/>
        <w:gridCol w:w="296"/>
        <w:gridCol w:w="296"/>
        <w:gridCol w:w="297"/>
        <w:gridCol w:w="109"/>
        <w:gridCol w:w="109"/>
        <w:gridCol w:w="161"/>
      </w:tblGrid>
      <w:t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2020</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8,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Times New Roman;serif" w:hAnsi="Times New Roman;serif"/>
                  <w:b w:val="false"/>
                  <w:color w:val="0000FF"/>
                  <w:sz w:val="18"/>
                  <w:u w:val="single"/>
                </w:rPr>
                <w:t>Form of Class A common stock certificate of the Registrant.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 2020</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Times New Roman;serif" w:hAnsi="Times New Roman;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9">
              <w:r>
                <w:rPr>
                  <w:rStyle w:val="InternetLink"/>
                  <w:rFonts w:ascii="Times New Roman;serif" w:hAnsi="Times New Roman;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0">
              <w:r>
                <w:rPr>
                  <w:rStyle w:val="InternetLink"/>
                  <w:rFonts w:ascii="Times New Roman;serif" w:hAnsi="Times New Roman;serif"/>
                  <w:b w:val="false"/>
                  <w:color w:val="0000FF"/>
                  <w:sz w:val="18"/>
                  <w:u w:val="single"/>
                </w:rPr>
                <w:t>First Amendment to Form of Common Stock Purchase Warrant (Tranche 1), dated October 29,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1">
              <w:r>
                <w:rPr>
                  <w:rStyle w:val="InternetLink"/>
                  <w:rFonts w:ascii="Times New Roman;serif" w:hAnsi="Times New Roman;serif"/>
                  <w:b w:val="false"/>
                  <w:color w:val="0000FF"/>
                  <w:sz w:val="18"/>
                  <w:u w:val="single"/>
                </w:rPr>
                <w:t>Common Stock Purchase Warrant, dated as of August 31, 2026,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12">
              <w:r>
                <w:rPr>
                  <w:rStyle w:val="InternetLink"/>
                  <w:rFonts w:ascii="Times New Roman;serif" w:hAnsi="Times New Roman;serif"/>
                  <w:b w:val="false"/>
                  <w:color w:val="0000FF"/>
                  <w:sz w:val="18"/>
                  <w:u w:val="single"/>
                </w:rPr>
                <w:t>Warrant Cancellation and Exchange Agreement, dated as of August 31, 2026,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10.2</w:t>
            </w: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13">
              <w:r>
                <w:rPr>
                  <w:rStyle w:val="InternetLink"/>
                  <w:rFonts w:ascii="Times New Roman;serif" w:hAnsi="Times New Roman;serif"/>
                  <w:b w:val="false"/>
                  <w:color w:val="0000FF"/>
                  <w:sz w:val="18"/>
                  <w:u w:val="single"/>
                </w:rPr>
                <w:t>Second Amendment to the Commercial Agreement, dated as of August 31, 2026,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14">
              <w:r>
                <w:rPr>
                  <w:rStyle w:val="InternetLink"/>
                  <w:rFonts w:ascii="Times New Roman;serif" w:hAnsi="Times New Roman;serif"/>
                  <w:b w:val="false"/>
                  <w:color w:val="0000FF"/>
                  <w:sz w:val="18"/>
                  <w:u w:val="single"/>
                </w:rPr>
                <w:t xml:space="preserve">Second Amendment to Investment Agreement, dated as of August 31, 2026, by and between Root, Inc. and Carvana Group, LLC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r:id="rId15">
              <w:r>
                <w:rPr>
                  <w:rStyle w:val="InternetLink"/>
                  <w:rFonts w:ascii="Times New Roman;serif" w:hAnsi="Times New Roman;serif"/>
                  <w:b w:val="false"/>
                  <w:color w:val="0000FF"/>
                  <w:sz w:val="18"/>
                  <w:u w:val="single"/>
                </w:rPr>
                <w:t>First Amendment to the Registration Rights Agreement, dated as of August 31, 2026,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 2026</w:t>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a311certificationofprincip.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a312certificationofprincip.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245"/>
        <w:gridCol w:w="195"/>
        <w:gridCol w:w="197"/>
        <w:gridCol w:w="109"/>
        <w:gridCol w:w="109"/>
        <w:gridCol w:w="109"/>
        <w:gridCol w:w="2408"/>
        <w:gridCol w:w="2408"/>
        <w:gridCol w:w="2414"/>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c>
          <w:tcPr>
            <w:tcW w:w="2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76" w:before="0" w:after="0"/>
              <w:jc w:val="left"/>
            </w:pPr>
            <w:hyperlink w:anchor="a321certificationofprincip.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Exhibits and schedules have been omitted pursuant to Item 601(a)(5) of Regulation S-K and will be provided on a supplemental basis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left"/>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0"/>
        <w:jc w:val="right"/>
      </w:pPr>
      <w:r/>
    </w:p>
    <w:tbl>
      <w:tblPr>
        <w:tblW w:w="7257" w:type="dxa"/>
        <w:jc w:val="righ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34"/>
        <w:gridCol w:w="134"/>
        <w:gridCol w:w="136"/>
        <w:gridCol w:w="109"/>
        <w:gridCol w:w="109"/>
        <w:gridCol w:w="109"/>
        <w:gridCol w:w="109"/>
        <w:gridCol w:w="109"/>
        <w:gridCol w:w="109"/>
        <w:gridCol w:w="109"/>
        <w:gridCol w:w="109"/>
        <w:gridCol w:w="109"/>
        <w:gridCol w:w="910"/>
        <w:gridCol w:w="910"/>
        <w:gridCol w:w="1299"/>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Root,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Forish</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Forish</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pP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spacing w:before="0" w:after="180"/>
        <w:ind w:left="0" w:right="0" w:firstLine="3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95095"/>
                <wp:effectExtent l="0" t="0" r="0" b="0"/>
                <wp:wrapNone/>
                <wp:docPr id="57" name="Frame57"/>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ind w:left="0" w:right="0" w:firstLine="360"/>
                              <w:jc w:val="center"/>
                            </w:pPr>
                            <w:r/>
                          </w:p>
                          <w:p>
                            <w:pPr>
                              <w:pStyle w:val="TextBody"/>
                              <w:bidi w:val="0"/>
                              <w:spacing w:before="0" w:after="180"/>
                              <w:ind w:left="0" w:right="0" w:firstLine="360"/>
                              <w:jc w:val="center"/>
                            </w:pPr>
                            <w:r/>
                          </w:p>
                          <w:p>
                            <w:pPr>
                              <w:pStyle w:val="TextBody"/>
                              <w:bidi w:val="0"/>
                              <w:spacing w:before="0" w:after="180"/>
                              <w:ind w:left="0" w:right="0" w:firstLine="36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pPr>
                            <w:r/>
                          </w:p>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center"/>
                      </w:pPr>
                      <w:r/>
                    </w:p>
                    <w:p>
                      <w:pPr>
                        <w:pStyle w:val="TextBody"/>
                        <w:bidi w:val="0"/>
                        <w:spacing w:before="0" w:after="180"/>
                        <w:ind w:left="0" w:right="0" w:firstLine="360"/>
                        <w:jc w:val="center"/>
                      </w:pPr>
                      <w:r/>
                    </w:p>
                    <w:p>
                      <w:pPr>
                        <w:pStyle w:val="TextBody"/>
                        <w:bidi w:val="0"/>
                        <w:spacing w:before="0" w:after="180"/>
                        <w:ind w:left="0" w:right="0" w:firstLine="36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pPr>
                      <w:r/>
                    </w:p>
                    <w:p>
                      <w:pPr>
                        <w:pStyle w:val="TextBody"/>
                        <w:bidi w:val="0"/>
                        <w:spacing w:before="0" w:after="0"/>
                        <w:jc w:val="center"/>
                      </w:pPr>
                      <w:r/>
                    </w:p>
                  </w:txbxContent>
                </v:textbox>
                <w10:wrap type="none"/>
              </v:rect>
            </w:pict>
          </mc:Fallback>
        </mc:AlternateContent>
      </w:r>
    </w:p>
    <w:p>
      <w:pPr>
        <w:pStyle w:val="TextBody"/>
        <w:bidi w:val="0"/>
        <w:spacing w:lineRule="auto" w:line="27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pPr>
      <w:r/>
    </w:p>
    <w:p>
      <w:pPr>
        <w:pStyle w:val="TextBody"/>
        <w:bidi w:val="0"/>
        <w:spacing w:before="0" w:after="0"/>
        <w:jc w:val="center"/>
      </w:p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p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54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910"/>
        <w:gridCol w:w="910"/>
        <w:gridCol w:w="1299"/>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60"/>
        <w:jc w:val="center"/>
      </w:p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94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36"/>
        <w:gridCol w:w="736"/>
        <w:gridCol w:w="1048"/>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br/>
        <w:t>Pursuant to Section 906 of the Sarbanes-Oxley Act of 2002</w:t>
      </w:r>
    </w:p>
    <w:p>
      <w:pPr>
        <w:pStyle w:val="TextBody"/>
        <w:bidi w:val="0"/>
        <w:spacing w:before="0" w:after="0"/>
        <w:jc w:val="center"/>
      </w:p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ind w:left="0" w:right="0" w:firstLine="360"/>
        <w:jc w:val="left"/>
      </w:p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3"/>
        <w:gridCol w:w="1533"/>
        <w:gridCol w:w="1533"/>
        <w:gridCol w:w="1533"/>
        <w:gridCol w:w="1533"/>
        <w:gridCol w:w="2198"/>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September 30, 2026 to which this certification is attached as Exhibit 32.1 (the “Periodic Report”), fully complies with the requirements of Section 13(a) or Section 15(d) of the Exchange Act; and</w:t>
            </w:r>
          </w:p>
        </w:tc>
      </w:tr>
      <w:t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p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p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78888226000049/certificateofamendment.htm" TargetMode="External"/><Relationship Id="rId5" Type="http://schemas.openxmlformats.org/officeDocument/2006/relationships/hyperlink" Target="https://www.sec.gov/Archives/edgar/data/1788882/000162828023004580/a33amendedandrestatedbylaws.htm" TargetMode="External"/><Relationship Id="rId6" Type="http://schemas.openxmlformats.org/officeDocument/2006/relationships/hyperlink" Target="https://www.sec.gov/Archives/edgar/data/0001788882/000119312521289291/d236036dex31.htm" TargetMode="External"/><Relationship Id="rId7" Type="http://schemas.openxmlformats.org/officeDocument/2006/relationships/hyperlink" Target="https://www.sec.gov/Archives/edgar/data/1788882/000162828020014581/exhibit41-sx1a1xformof.htm" TargetMode="External"/><Relationship Id="rId8" Type="http://schemas.openxmlformats.org/officeDocument/2006/relationships/hyperlink" Target="https://www.sec.gov/Archives/edgar/data/0001788882/000119312521289291/d236036dex41.htm" TargetMode="External"/><Relationship Id="rId9" Type="http://schemas.openxmlformats.org/officeDocument/2006/relationships/hyperlink" Target="https://www.sec.gov/Archives/edgar/data/1788882/000119312522018949/d295910dex41.htm" TargetMode="External"/><Relationship Id="rId10" Type="http://schemas.openxmlformats.org/officeDocument/2006/relationships/hyperlink" Target="https://www.sec.gov/Archives/edgar/data/1788882/000162828024044321/a45firstamendmenttoformofc.htm" TargetMode="External"/><Relationship Id="rId11" Type="http://schemas.openxmlformats.org/officeDocument/2006/relationships/hyperlink" Target="https://www.sec.gov/Archives/edgar/data/1788882/000178888226000068/a41commonstockpurchasewarr.htm" TargetMode="External"/><Relationship Id="rId12" Type="http://schemas.openxmlformats.org/officeDocument/2006/relationships/hyperlink" Target="https://www.sec.gov/Archives/edgar/data/1788882/000178888226000068/a101warrantcancellationand.htm" TargetMode="External"/><Relationship Id="rId13" Type="http://schemas.openxmlformats.org/officeDocument/2006/relationships/hyperlink" Target="https://www.sec.gov/Archives/edgar/data/1788882/000178888226000068/a102secondamendmenttotheco.htm" TargetMode="External"/><Relationship Id="rId14" Type="http://schemas.openxmlformats.org/officeDocument/2006/relationships/hyperlink" Target="https://www.sec.gov/Archives/edgar/data/1788882/000178888226000068/a103secondamendmenttoinves.htm" TargetMode="External"/><Relationship Id="rId15" Type="http://schemas.openxmlformats.org/officeDocument/2006/relationships/hyperlink" Target="https://www.sec.gov/Archives/edgar/data/1788882/000178888226000068/a104firstamendmenttothereg.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23556</Words>
  <Characters>131240</Characters>
  <CharactersWithSpaces>152959</CharactersWithSpaces>
  <Paragraphs>3516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